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</w:tblGrid>
      <w:tr w:rsidR="002B0FB8" w:rsidRPr="00746CF7" w:rsidTr="003D1821">
        <w:trPr>
          <w:jc w:val="right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B0FB8" w:rsidRPr="00746CF7" w:rsidRDefault="002B0FB8" w:rsidP="00035122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746CF7">
              <w:rPr>
                <w:sz w:val="28"/>
                <w:szCs w:val="28"/>
              </w:rPr>
              <w:t xml:space="preserve">Приложение </w:t>
            </w:r>
            <w:r w:rsidR="004B1083" w:rsidRPr="00746CF7">
              <w:rPr>
                <w:sz w:val="28"/>
                <w:szCs w:val="28"/>
                <w:lang w:val="en-US"/>
              </w:rPr>
              <w:t>1</w:t>
            </w:r>
            <w:r w:rsidR="00CB770B" w:rsidRPr="00746CF7">
              <w:rPr>
                <w:sz w:val="28"/>
                <w:szCs w:val="28"/>
                <w:lang w:val="en-US"/>
              </w:rPr>
              <w:t>2</w:t>
            </w:r>
            <w:r w:rsidR="0041549E" w:rsidRPr="00746CF7">
              <w:rPr>
                <w:sz w:val="28"/>
                <w:szCs w:val="28"/>
                <w:lang w:val="en-US"/>
              </w:rPr>
              <w:t xml:space="preserve"> </w:t>
            </w:r>
            <w:r w:rsidR="00AD6090" w:rsidRPr="00746CF7">
              <w:rPr>
                <w:sz w:val="28"/>
                <w:szCs w:val="28"/>
              </w:rPr>
              <w:t>к постановлению</w:t>
            </w:r>
          </w:p>
        </w:tc>
      </w:tr>
    </w:tbl>
    <w:p w:rsidR="003D1821" w:rsidRPr="00746CF7" w:rsidRDefault="003D1821" w:rsidP="003D1821">
      <w:pPr>
        <w:pStyle w:val="pc"/>
        <w:rPr>
          <w:lang w:val="kk-KZ"/>
        </w:rPr>
      </w:pPr>
      <w:r w:rsidRPr="00746CF7">
        <w:rPr>
          <w:lang w:val="kk-KZ"/>
        </w:rPr>
        <w:t> </w:t>
      </w:r>
    </w:p>
    <w:p w:rsidR="003D1821" w:rsidRPr="00746CF7" w:rsidRDefault="003D1821" w:rsidP="003D1821">
      <w:pPr>
        <w:pStyle w:val="pc"/>
        <w:rPr>
          <w:lang w:val="kk-KZ"/>
        </w:rPr>
      </w:pPr>
      <w:r w:rsidRPr="00746CF7">
        <w:rPr>
          <w:lang w:val="kk-KZ"/>
        </w:rPr>
        <w:t> </w:t>
      </w:r>
    </w:p>
    <w:tbl>
      <w:tblPr>
        <w:tblW w:w="5001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2138"/>
        <w:gridCol w:w="1020"/>
        <w:gridCol w:w="21"/>
        <w:gridCol w:w="1405"/>
        <w:gridCol w:w="739"/>
        <w:gridCol w:w="1417"/>
        <w:gridCol w:w="719"/>
        <w:gridCol w:w="414"/>
        <w:gridCol w:w="1023"/>
        <w:gridCol w:w="325"/>
        <w:gridCol w:w="1346"/>
        <w:gridCol w:w="228"/>
        <w:gridCol w:w="757"/>
        <w:gridCol w:w="624"/>
      </w:tblGrid>
      <w:tr w:rsidR="003D1821" w:rsidRPr="00746CF7" w:rsidTr="004262FD">
        <w:trPr>
          <w:gridAfter w:val="3"/>
          <w:wAfter w:w="544" w:type="pct"/>
          <w:jc w:val="right"/>
        </w:trPr>
        <w:tc>
          <w:tcPr>
            <w:tcW w:w="2683" w:type="pct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</w:pPr>
            <w:r w:rsidRPr="00746CF7">
              <w:rPr>
                <w:noProof/>
              </w:rPr>
              <w:drawing>
                <wp:inline distT="0" distB="0" distL="0" distR="0" wp14:anchorId="6E69FE59" wp14:editId="734F95F0">
                  <wp:extent cx="4743450" cy="1047475"/>
                  <wp:effectExtent l="0" t="0" r="0" b="635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104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821" w:rsidRPr="00746CF7" w:rsidRDefault="003D1821" w:rsidP="003D1821">
            <w:pPr>
              <w:pStyle w:val="p"/>
              <w:ind w:left="145"/>
              <w:jc w:val="both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3D1821" w:rsidRPr="00746CF7" w:rsidRDefault="003D1821" w:rsidP="003D1821">
            <w:pPr>
              <w:pStyle w:val="p"/>
              <w:ind w:left="145"/>
              <w:jc w:val="both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3D1821" w:rsidRPr="00746CF7" w:rsidTr="004262FD">
        <w:trPr>
          <w:gridAfter w:val="3"/>
          <w:wAfter w:w="544" w:type="pct"/>
          <w:jc w:val="right"/>
        </w:trPr>
        <w:tc>
          <w:tcPr>
            <w:tcW w:w="2683" w:type="pct"/>
            <w:gridSpan w:val="6"/>
            <w:vMerge/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7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3D1821">
            <w:pPr>
              <w:pStyle w:val="p"/>
              <w:ind w:left="250"/>
              <w:jc w:val="both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3D1821" w:rsidRPr="00746CF7" w:rsidRDefault="003D1821" w:rsidP="003D1821">
            <w:pPr>
              <w:pStyle w:val="p"/>
              <w:ind w:left="250"/>
              <w:jc w:val="both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3D1821" w:rsidRPr="00746CF7" w:rsidTr="004262FD">
        <w:trPr>
          <w:gridAfter w:val="3"/>
          <w:wAfter w:w="544" w:type="pct"/>
          <w:jc w:val="right"/>
        </w:trPr>
        <w:tc>
          <w:tcPr>
            <w:tcW w:w="2683" w:type="pct"/>
            <w:gridSpan w:val="6"/>
            <w:vMerge/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73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3D1821">
            <w:pPr>
              <w:pStyle w:val="p"/>
              <w:ind w:left="250"/>
              <w:jc w:val="both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Ұлттық Банкіне тапсырылады</w:t>
            </w:r>
          </w:p>
          <w:p w:rsidR="003D1821" w:rsidRPr="00746CF7" w:rsidRDefault="003D1821" w:rsidP="003D1821">
            <w:pPr>
              <w:pStyle w:val="p"/>
              <w:ind w:left="250"/>
              <w:jc w:val="both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:rsidR="003D1821" w:rsidRPr="00746CF7" w:rsidRDefault="003D1821" w:rsidP="003D1821">
            <w:pPr>
              <w:pStyle w:val="p"/>
              <w:ind w:left="250"/>
              <w:jc w:val="both"/>
              <w:rPr>
                <w:sz w:val="28"/>
                <w:szCs w:val="28"/>
              </w:rPr>
            </w:pPr>
          </w:p>
        </w:tc>
      </w:tr>
      <w:tr w:rsidR="003D1821" w:rsidRPr="00746CF7" w:rsidTr="004262FD">
        <w:trPr>
          <w:jc w:val="right"/>
        </w:trPr>
        <w:tc>
          <w:tcPr>
            <w:tcW w:w="4789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</w:tr>
      <w:tr w:rsidR="003D1821" w:rsidRPr="00746CF7" w:rsidTr="004262FD">
        <w:trPr>
          <w:jc w:val="right"/>
        </w:trPr>
        <w:tc>
          <w:tcPr>
            <w:tcW w:w="5000" w:type="pct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C01A88" w:rsidP="00C01A88">
            <w:pPr>
              <w:pStyle w:val="pc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Бейрезиденттерге</w:t>
            </w:r>
            <w:r w:rsidR="003D1821"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берілген кредиттер туралы есеп</w:t>
            </w:r>
          </w:p>
        </w:tc>
      </w:tr>
      <w:tr w:rsidR="003D1821" w:rsidRPr="00746CF7" w:rsidTr="004262FD">
        <w:trPr>
          <w:jc w:val="right"/>
        </w:trPr>
        <w:tc>
          <w:tcPr>
            <w:tcW w:w="5000" w:type="pct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Отчет о кредитах, выданных нерезидентам</w:t>
            </w:r>
          </w:p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</w:p>
        </w:tc>
      </w:tr>
      <w:tr w:rsidR="003D1821" w:rsidRPr="00746CF7" w:rsidTr="004262FD">
        <w:trPr>
          <w:jc w:val="right"/>
        </w:trPr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Индекс</w:t>
            </w:r>
          </w:p>
        </w:tc>
        <w:tc>
          <w:tcPr>
            <w:tcW w:w="7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17-ТБ</w:t>
            </w:r>
          </w:p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17-ПБ</w:t>
            </w:r>
          </w:p>
        </w:tc>
        <w:tc>
          <w:tcPr>
            <w:tcW w:w="82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ind w:left="-55" w:right="-191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3D1821" w:rsidRPr="00746CF7" w:rsidRDefault="003D1821" w:rsidP="004262FD">
            <w:pPr>
              <w:pStyle w:val="pc"/>
              <w:ind w:right="-191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квартальная</w:t>
            </w:r>
          </w:p>
        </w:tc>
        <w:tc>
          <w:tcPr>
            <w:tcW w:w="7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2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noProof/>
                <w:sz w:val="28"/>
                <w:szCs w:val="28"/>
              </w:rPr>
              <w:drawing>
                <wp:inline distT="0" distB="0" distL="0" distR="0" wp14:anchorId="4F3810E5" wp14:editId="34ED1302">
                  <wp:extent cx="371475" cy="333375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3D1821" w:rsidRPr="00746CF7" w:rsidRDefault="003D1821" w:rsidP="004262FD">
            <w:pPr>
              <w:pStyle w:val="pc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квартал</w:t>
            </w:r>
          </w:p>
        </w:tc>
        <w:tc>
          <w:tcPr>
            <w:tcW w:w="64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noProof/>
                <w:sz w:val="28"/>
                <w:szCs w:val="28"/>
              </w:rPr>
              <w:drawing>
                <wp:inline distT="0" distB="0" distL="0" distR="0" wp14:anchorId="05FF0A33" wp14:editId="2436EB2B">
                  <wp:extent cx="1123950" cy="333375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jc w:val="left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3D1821" w:rsidRPr="00746CF7" w:rsidRDefault="003D1821" w:rsidP="004262FD">
            <w:pPr>
              <w:pStyle w:val="pc"/>
              <w:jc w:val="left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год</w:t>
            </w:r>
          </w:p>
        </w:tc>
      </w:tr>
      <w:tr w:rsidR="003D1821" w:rsidRPr="00746CF7" w:rsidTr="004262FD">
        <w:trPr>
          <w:jc w:val="right"/>
        </w:trPr>
        <w:tc>
          <w:tcPr>
            <w:tcW w:w="5000" w:type="pct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«БТА БАНК» акционерлік қоғамы ұсынады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Представляется акционерным обществом «БТА БАНК»</w:t>
            </w:r>
          </w:p>
        </w:tc>
      </w:tr>
      <w:tr w:rsidR="003D1821" w:rsidRPr="00746CF7" w:rsidTr="004262FD">
        <w:trPr>
          <w:jc w:val="right"/>
        </w:trPr>
        <w:tc>
          <w:tcPr>
            <w:tcW w:w="5000" w:type="pct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мерзімі: есептік кезеңнен кейінгі бірінші айдың 25-нан кешіктірмей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Срок представления: не позднее 25 числа первого месяца после отчетного периода</w:t>
            </w:r>
          </w:p>
        </w:tc>
      </w:tr>
      <w:tr w:rsidR="003D1821" w:rsidRPr="00746CF7" w:rsidTr="004262FD">
        <w:trPr>
          <w:jc w:val="right"/>
        </w:trPr>
        <w:tc>
          <w:tcPr>
            <w:tcW w:w="195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БСН коды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Код БИН</w:t>
            </w:r>
          </w:p>
        </w:tc>
        <w:tc>
          <w:tcPr>
            <w:tcW w:w="3049" w:type="pct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noProof/>
                <w:sz w:val="28"/>
                <w:szCs w:val="28"/>
              </w:rPr>
              <w:drawing>
                <wp:inline distT="0" distB="0" distL="0" distR="0" wp14:anchorId="69E8A3A4" wp14:editId="1CDAAE4F">
                  <wp:extent cx="3267075" cy="333375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821" w:rsidRPr="00746CF7" w:rsidTr="004262FD">
        <w:trPr>
          <w:jc w:val="right"/>
        </w:trPr>
        <w:tc>
          <w:tcPr>
            <w:tcW w:w="883" w:type="pct"/>
            <w:vAlign w:val="center"/>
            <w:hideMark/>
          </w:tcPr>
          <w:p w:rsidR="003D1821" w:rsidRPr="00746CF7" w:rsidRDefault="003D1821" w:rsidP="004262FD"/>
        </w:tc>
        <w:tc>
          <w:tcPr>
            <w:tcW w:w="1068" w:type="pct"/>
            <w:gridSpan w:val="2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7" w:type="pct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725" w:type="pct"/>
            <w:gridSpan w:val="2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79" w:type="pct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83" w:type="pct"/>
            <w:gridSpan w:val="2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56" w:type="pct"/>
            <w:gridSpan w:val="2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2" w:type="pct"/>
            <w:gridSpan w:val="2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256" w:type="pct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211" w:type="pct"/>
            <w:vAlign w:val="center"/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</w:tr>
    </w:tbl>
    <w:p w:rsidR="003D1821" w:rsidRPr="00746CF7" w:rsidRDefault="003D1821" w:rsidP="003D1821">
      <w:pPr>
        <w:pStyle w:val="p"/>
      </w:pPr>
      <w:r w:rsidRPr="00746CF7">
        <w:t> </w:t>
      </w:r>
    </w:p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590"/>
        <w:gridCol w:w="1258"/>
        <w:gridCol w:w="1533"/>
        <w:gridCol w:w="1168"/>
        <w:gridCol w:w="1168"/>
        <w:gridCol w:w="1669"/>
        <w:gridCol w:w="1592"/>
        <w:gridCol w:w="1592"/>
        <w:gridCol w:w="1331"/>
        <w:gridCol w:w="1423"/>
      </w:tblGrid>
      <w:tr w:rsidR="003D1821" w:rsidRPr="00746CF7" w:rsidTr="004262FD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Р/с №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№ п/п</w:t>
            </w:r>
          </w:p>
        </w:tc>
        <w:tc>
          <w:tcPr>
            <w:tcW w:w="14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 алушы туралы ақпарат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Информация о заемщике</w:t>
            </w:r>
          </w:p>
        </w:tc>
        <w:tc>
          <w:tcPr>
            <w:tcW w:w="335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 шарты туралы ақпарат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Информация о договоре займа</w:t>
            </w:r>
          </w:p>
        </w:tc>
      </w:tr>
      <w:tr w:rsidR="003D1821" w:rsidRPr="00746CF7" w:rsidTr="004262F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 алушының атауы, тегі, аты, әкесінің аты (бар болған жағдайда)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Наименование, фамилия, имя, отчество (при его наличии) заемщика</w:t>
            </w: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БСН/ЖСН (бар болған кезде)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БИН/ИИН (при наличии)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 алушы елінің атауы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Наименование страны заемщика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Шарттың нөмірі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Номер договора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Шарттың күні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Дата договора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Сыйақы мөлшерлемесі (жылдық пайызбен)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Ставка вознаграждения (в процентах годовых)</w:t>
            </w:r>
          </w:p>
        </w:tc>
        <w:tc>
          <w:tcPr>
            <w:tcW w:w="5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 валютасының атауы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Наименование валюты займа</w:t>
            </w:r>
          </w:p>
        </w:tc>
        <w:tc>
          <w:tcPr>
            <w:tcW w:w="5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Заемның сомасы</w:t>
            </w: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(шарт валютасының мың бірлігімен)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Сумма займа (в тысячах единицах. валюты договора)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Қолдану кезеңі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Период действия</w:t>
            </w:r>
          </w:p>
        </w:tc>
      </w:tr>
      <w:tr w:rsidR="003D1821" w:rsidRPr="00746CF7" w:rsidTr="004262F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Заемның нақты берілген күні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Дата фактической выдачи займа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Заемды өтеудің түпкілікті күні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Дата конечного срока погашения займа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Б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В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Д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Е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Ж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З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И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Л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 xml:space="preserve">  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</w:tbl>
    <w:p w:rsidR="003D1821" w:rsidRPr="00746CF7" w:rsidRDefault="003D1821" w:rsidP="003D1821">
      <w:pPr>
        <w:pStyle w:val="p"/>
      </w:pPr>
      <w:r w:rsidRPr="00746CF7">
        <w:rPr>
          <w:vanish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3738"/>
        <w:gridCol w:w="2611"/>
        <w:gridCol w:w="1662"/>
        <w:gridCol w:w="1532"/>
        <w:gridCol w:w="1050"/>
        <w:gridCol w:w="1960"/>
      </w:tblGrid>
      <w:tr w:rsidR="003D1821" w:rsidRPr="00746CF7" w:rsidTr="004262F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Негізгі борыш (мың теңгемен)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Основной долг (тысячах тенге)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басындағы қалдық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lastRenderedPageBreak/>
              <w:t>Остаток на начало отчетного периода</w:t>
            </w:r>
          </w:p>
        </w:tc>
        <w:tc>
          <w:tcPr>
            <w:tcW w:w="322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 кезеңдегі өзгерістер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Изменения за отчетный период</w:t>
            </w:r>
          </w:p>
        </w:tc>
        <w:tc>
          <w:tcPr>
            <w:tcW w:w="10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соңындағы қалдық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lastRenderedPageBreak/>
              <w:t>Остаток на конец отчетного периода</w:t>
            </w:r>
          </w:p>
        </w:tc>
      </w:tr>
      <w:tr w:rsidR="003D1821" w:rsidRPr="00746CF7" w:rsidTr="004262F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Ұлғаю (беру, сыйақыны капиталдандыру, қайта ұйымдастыру)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Увеличение (выдача, капитализация вознаграждения, реорганизация)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Азаю (өтеу, қайта ұйымдастыру)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Уменьшение (погашение, реорганизация)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Бағамдық өзгерістер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Курсовые изменения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өзгерістер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Сомасы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Сумма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Баланстық шоттың нөмірі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Номер балансового счета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1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7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</w:tbl>
    <w:p w:rsidR="003D1821" w:rsidRPr="00746CF7" w:rsidRDefault="00B46600" w:rsidP="003D1821">
      <w:pPr>
        <w:pStyle w:val="pj"/>
        <w:ind w:firstLine="709"/>
      </w:pPr>
      <w:r w:rsidRPr="00746CF7">
        <w:rPr>
          <w:lang w:val="kk-KZ"/>
        </w:rPr>
        <w:t>Кестенің жалғасы</w:t>
      </w:r>
    </w:p>
    <w:p w:rsidR="003D1821" w:rsidRPr="00746CF7" w:rsidRDefault="003D1821" w:rsidP="003D1821">
      <w:pPr>
        <w:pStyle w:val="pj"/>
        <w:ind w:firstLine="709"/>
      </w:pPr>
      <w:r w:rsidRPr="00746CF7"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455"/>
        <w:gridCol w:w="3303"/>
        <w:gridCol w:w="1691"/>
        <w:gridCol w:w="1552"/>
        <w:gridCol w:w="1050"/>
        <w:gridCol w:w="2002"/>
        <w:gridCol w:w="1434"/>
      </w:tblGrid>
      <w:tr w:rsidR="003D1821" w:rsidRPr="00746CF7" w:rsidTr="004262FD">
        <w:trPr>
          <w:jc w:val="center"/>
        </w:trPr>
        <w:tc>
          <w:tcPr>
            <w:tcW w:w="451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Сыйақы (мың теңгемен)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Вознаграждение (тысячах тенге)</w:t>
            </w:r>
          </w:p>
        </w:tc>
        <w:tc>
          <w:tcPr>
            <w:tcW w:w="4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Ескертпе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Примечание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басындағы қалдық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Остаток на начало отчетного периода</w:t>
            </w:r>
          </w:p>
        </w:tc>
        <w:tc>
          <w:tcPr>
            <w:tcW w:w="27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кезеңдегі өзгерістер</w:t>
            </w:r>
          </w:p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Изменения за отчетный период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 қалдық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Остаток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</w:tr>
      <w:tr w:rsidR="003D1821" w:rsidRPr="00746CF7" w:rsidTr="004262F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Есептелгені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Начислено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Төленгені (капиталдандыруды қоса алғанда)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Оплачено (включая капитализацию)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Бағамдық өзгерістер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Курсовые изменения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өзгерістер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Сомасы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Сумма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b/>
                <w:bCs/>
                <w:sz w:val="20"/>
                <w:szCs w:val="20"/>
                <w:bdr w:val="none" w:sz="0" w:space="0" w:color="auto" w:frame="1"/>
              </w:rPr>
              <w:t>Баланстық шоттың нөмірі</w:t>
            </w:r>
          </w:p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Номер балансового счета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821" w:rsidRPr="00746CF7" w:rsidRDefault="003D1821" w:rsidP="004262FD">
            <w:pPr>
              <w:spacing w:line="276" w:lineRule="auto"/>
              <w:rPr>
                <w:color w:val="000000"/>
              </w:rPr>
            </w:pP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11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13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14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c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15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/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spacing w:line="276" w:lineRule="auto"/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  <w:tr w:rsidR="003D1821" w:rsidRPr="00746CF7" w:rsidTr="004262FD">
        <w:trPr>
          <w:jc w:val="center"/>
        </w:trPr>
        <w:tc>
          <w:tcPr>
            <w:tcW w:w="7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746CF7">
              <w:rPr>
                <w:sz w:val="20"/>
                <w:szCs w:val="20"/>
              </w:rPr>
              <w:t> </w:t>
            </w:r>
          </w:p>
        </w:tc>
      </w:tr>
    </w:tbl>
    <w:p w:rsidR="003D1821" w:rsidRPr="00746CF7" w:rsidRDefault="003D1821" w:rsidP="003D1821">
      <w:pPr>
        <w:pStyle w:val="p"/>
      </w:pPr>
      <w:r w:rsidRPr="00746CF7">
        <w:rPr>
          <w:b/>
          <w:bCs/>
          <w:bdr w:val="none" w:sz="0" w:space="0" w:color="auto" w:frame="1"/>
        </w:rPr>
        <w:t> </w:t>
      </w:r>
    </w:p>
    <w:tbl>
      <w:tblPr>
        <w:tblW w:w="5037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3939"/>
        <w:gridCol w:w="974"/>
        <w:gridCol w:w="92"/>
        <w:gridCol w:w="1644"/>
        <w:gridCol w:w="429"/>
        <w:gridCol w:w="2252"/>
        <w:gridCol w:w="807"/>
        <w:gridCol w:w="1337"/>
        <w:gridCol w:w="3205"/>
        <w:gridCol w:w="107"/>
      </w:tblGrid>
      <w:tr w:rsidR="003D1821" w:rsidRPr="00746CF7" w:rsidTr="00B46600">
        <w:trPr>
          <w:gridAfter w:val="1"/>
          <w:wAfter w:w="36" w:type="pct"/>
        </w:trPr>
        <w:tc>
          <w:tcPr>
            <w:tcW w:w="2412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Атауы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Наименование__________________________________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_______________________________________________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Телефон (респондента)___________________________</w:t>
            </w:r>
          </w:p>
          <w:p w:rsidR="003D1821" w:rsidRPr="00746CF7" w:rsidRDefault="003D1821" w:rsidP="004262FD">
            <w:pPr>
              <w:pStyle w:val="p"/>
              <w:ind w:left="2869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:rsidR="003D1821" w:rsidRPr="00746CF7" w:rsidRDefault="003D1821" w:rsidP="004262FD">
            <w:pPr>
              <w:pStyle w:val="p"/>
              <w:ind w:left="2869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стационарный</w:t>
            </w:r>
          </w:p>
        </w:tc>
        <w:tc>
          <w:tcPr>
            <w:tcW w:w="255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Адрес (респондента) __________________________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____________________________________________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 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____________________________________________</w:t>
            </w:r>
          </w:p>
          <w:p w:rsidR="003D1821" w:rsidRPr="00746CF7" w:rsidRDefault="003D1821" w:rsidP="004262FD">
            <w:pPr>
              <w:pStyle w:val="p"/>
              <w:ind w:left="1592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3D1821" w:rsidRPr="00746CF7" w:rsidRDefault="003D1821" w:rsidP="004262FD">
            <w:pPr>
              <w:pStyle w:val="p"/>
              <w:ind w:left="1592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мобильный</w:t>
            </w:r>
          </w:p>
          <w:p w:rsidR="003D1821" w:rsidRPr="00746CF7" w:rsidRDefault="003D1821" w:rsidP="004262FD">
            <w:pPr>
              <w:pStyle w:val="p"/>
              <w:ind w:left="1592"/>
              <w:rPr>
                <w:sz w:val="28"/>
                <w:szCs w:val="28"/>
              </w:rPr>
            </w:pPr>
          </w:p>
        </w:tc>
      </w:tr>
      <w:tr w:rsidR="003D1821" w:rsidRPr="00746CF7" w:rsidTr="00B46600">
        <w:tblPrEx>
          <w:jc w:val="center"/>
          <w:tblInd w:w="0" w:type="dxa"/>
        </w:tblPrEx>
        <w:trPr>
          <w:gridAfter w:val="1"/>
          <w:wAfter w:w="36" w:type="pct"/>
          <w:jc w:val="center"/>
        </w:trPr>
        <w:tc>
          <w:tcPr>
            <w:tcW w:w="171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b/>
                <w:sz w:val="28"/>
                <w:szCs w:val="28"/>
              </w:rPr>
            </w:pPr>
            <w:r w:rsidRPr="00746CF7">
              <w:rPr>
                <w:b/>
                <w:sz w:val="28"/>
                <w:szCs w:val="28"/>
              </w:rPr>
              <w:t>Алғашқы статистикалық деректерді таратуға келісеміз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noProof/>
                <w:sz w:val="28"/>
                <w:szCs w:val="28"/>
              </w:rPr>
              <w:drawing>
                <wp:inline distT="0" distB="0" distL="0" distR="0" wp14:anchorId="0C5DDD7A" wp14:editId="08063D75">
                  <wp:extent cx="371475" cy="33337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b/>
                <w:sz w:val="28"/>
                <w:szCs w:val="28"/>
              </w:rPr>
            </w:pPr>
            <w:r w:rsidRPr="00746CF7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noProof/>
                <w:sz w:val="28"/>
                <w:szCs w:val="28"/>
              </w:rPr>
              <w:drawing>
                <wp:inline distT="0" distB="0" distL="0" distR="0" wp14:anchorId="72706474" wp14:editId="5CCAA3C2">
                  <wp:extent cx="371475" cy="333375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821" w:rsidRPr="00746CF7" w:rsidTr="00B46600">
        <w:tblPrEx>
          <w:jc w:val="center"/>
          <w:tblInd w:w="0" w:type="dxa"/>
        </w:tblPrEx>
        <w:trPr>
          <w:gridAfter w:val="1"/>
          <w:wAfter w:w="36" w:type="pct"/>
          <w:jc w:val="center"/>
        </w:trPr>
        <w:tc>
          <w:tcPr>
            <w:tcW w:w="13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 </w:t>
            </w: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148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17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</w:p>
        </w:tc>
      </w:tr>
      <w:tr w:rsidR="003D1821" w:rsidRPr="00746CF7" w:rsidTr="00B46600">
        <w:trPr>
          <w:gridBefore w:val="1"/>
          <w:wBefore w:w="36" w:type="pct"/>
        </w:trPr>
        <w:tc>
          <w:tcPr>
            <w:tcW w:w="3403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Адрес электронной почты (респондента) ____________________________________________________</w:t>
            </w:r>
          </w:p>
          <w:p w:rsidR="003D1821" w:rsidRPr="00746CF7" w:rsidRDefault="003D1821" w:rsidP="004262FD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lastRenderedPageBreak/>
              <w:t>Исполнитель __________________________________________________________________</w:t>
            </w:r>
          </w:p>
          <w:p w:rsidR="003D1821" w:rsidRPr="00746CF7" w:rsidRDefault="003D1821" w:rsidP="004262FD">
            <w:pPr>
              <w:pStyle w:val="p"/>
              <w:ind w:left="744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3D1821" w:rsidRPr="00746CF7" w:rsidRDefault="003D1821" w:rsidP="004262FD">
            <w:pPr>
              <w:pStyle w:val="p"/>
              <w:ind w:left="744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фамилия, имя и отчество (при его наличии)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 xml:space="preserve">Главный бухгалтер или лицо, уполномоченное на подписание отчета  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___________________________________________________________________</w:t>
            </w:r>
          </w:p>
          <w:p w:rsidR="003D1821" w:rsidRPr="00746CF7" w:rsidRDefault="003D1821" w:rsidP="004262FD">
            <w:pPr>
              <w:pStyle w:val="p"/>
              <w:ind w:left="744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3D1821" w:rsidRPr="00746CF7" w:rsidRDefault="003D1821" w:rsidP="004262FD">
            <w:pPr>
              <w:pStyle w:val="p"/>
              <w:ind w:left="744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фамилия, имя и отчество (при его наличии)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есепке қол қоюға уәкілетті адам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 xml:space="preserve">Руководитель или лицо, уполномоченное на подписание отчета  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___________________________________________________________________</w:t>
            </w:r>
          </w:p>
          <w:p w:rsidR="003D1821" w:rsidRPr="00746CF7" w:rsidRDefault="003D1821" w:rsidP="004262FD">
            <w:pPr>
              <w:pStyle w:val="p"/>
              <w:ind w:left="744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3D1821" w:rsidRPr="00746CF7" w:rsidRDefault="003D1821" w:rsidP="004262FD">
            <w:pPr>
              <w:pStyle w:val="p"/>
              <w:ind w:left="744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56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lastRenderedPageBreak/>
              <w:t> 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 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 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</w:t>
            </w:r>
          </w:p>
          <w:p w:rsidR="003D1821" w:rsidRPr="00746CF7" w:rsidRDefault="003D1821" w:rsidP="004262FD">
            <w:pPr>
              <w:pStyle w:val="p"/>
              <w:jc w:val="center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:rsidR="003D1821" w:rsidRPr="00746CF7" w:rsidRDefault="003D1821" w:rsidP="004262FD">
            <w:pPr>
              <w:pStyle w:val="p"/>
              <w:jc w:val="center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подпись, телефон (исполнителя)</w:t>
            </w:r>
          </w:p>
          <w:p w:rsidR="003D1821" w:rsidRPr="00746CF7" w:rsidRDefault="003D1821" w:rsidP="004262FD">
            <w:pPr>
              <w:pStyle w:val="p"/>
              <w:jc w:val="center"/>
              <w:rPr>
                <w:sz w:val="28"/>
                <w:szCs w:val="28"/>
              </w:rPr>
            </w:pPr>
          </w:p>
          <w:p w:rsidR="00FE369A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 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</w:t>
            </w:r>
          </w:p>
          <w:p w:rsidR="003D1821" w:rsidRPr="00746CF7" w:rsidRDefault="003D1821" w:rsidP="004262FD">
            <w:pPr>
              <w:pStyle w:val="p"/>
              <w:jc w:val="center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3D1821" w:rsidRPr="00746CF7" w:rsidRDefault="003D1821" w:rsidP="004262FD">
            <w:pPr>
              <w:pStyle w:val="p"/>
              <w:jc w:val="center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подпись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  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 </w:t>
            </w:r>
          </w:p>
          <w:p w:rsidR="003D1821" w:rsidRPr="00746CF7" w:rsidRDefault="003D1821" w:rsidP="004262FD">
            <w:pPr>
              <w:pStyle w:val="p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_____________________________</w:t>
            </w:r>
          </w:p>
          <w:p w:rsidR="003D1821" w:rsidRPr="00746CF7" w:rsidRDefault="003D1821" w:rsidP="004262FD">
            <w:pPr>
              <w:pStyle w:val="p"/>
              <w:jc w:val="center"/>
              <w:rPr>
                <w:sz w:val="28"/>
                <w:szCs w:val="28"/>
              </w:rPr>
            </w:pPr>
            <w:r w:rsidRPr="00746CF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3D1821" w:rsidRPr="00746CF7" w:rsidRDefault="003D1821" w:rsidP="004262FD">
            <w:pPr>
              <w:pStyle w:val="p"/>
              <w:jc w:val="center"/>
              <w:rPr>
                <w:sz w:val="28"/>
                <w:szCs w:val="28"/>
              </w:rPr>
            </w:pPr>
            <w:r w:rsidRPr="00746CF7">
              <w:rPr>
                <w:sz w:val="28"/>
                <w:szCs w:val="28"/>
              </w:rPr>
              <w:t>подпись</w:t>
            </w:r>
          </w:p>
        </w:tc>
      </w:tr>
    </w:tbl>
    <w:p w:rsidR="003D1821" w:rsidRPr="00746CF7" w:rsidRDefault="003D1821" w:rsidP="003D1821">
      <w:pPr>
        <w:pStyle w:val="pj"/>
        <w:rPr>
          <w:sz w:val="28"/>
          <w:szCs w:val="28"/>
        </w:rPr>
      </w:pPr>
      <w:r w:rsidRPr="00746CF7">
        <w:rPr>
          <w:sz w:val="28"/>
          <w:szCs w:val="28"/>
        </w:rPr>
        <w:lastRenderedPageBreak/>
        <w:t> 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sz w:val="28"/>
          <w:szCs w:val="28"/>
        </w:rPr>
        <w:t>Примечание: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b/>
          <w:bCs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BF31D3" w:rsidRPr="00746CF7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BF31D3" w:rsidRPr="00746CF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746CF7">
        <w:rPr>
          <w:b/>
          <w:bCs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BF31D3" w:rsidRPr="00746CF7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BF31D3" w:rsidRPr="00746CF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746CF7">
        <w:rPr>
          <w:b/>
          <w:bCs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746CF7">
        <w:rPr>
          <w:sz w:val="28"/>
          <w:szCs w:val="28"/>
        </w:rPr>
        <w:t>статьей 497</w:t>
      </w:r>
      <w:r w:rsidRPr="00746CF7">
        <w:rPr>
          <w:color w:val="auto"/>
          <w:sz w:val="28"/>
          <w:szCs w:val="28"/>
        </w:rPr>
        <w:t xml:space="preserve"> Кодекса Республики </w:t>
      </w:r>
      <w:r w:rsidRPr="00746CF7">
        <w:rPr>
          <w:sz w:val="28"/>
          <w:szCs w:val="28"/>
        </w:rPr>
        <w:t>Казахстан об административных правонарушениях.</w:t>
      </w:r>
    </w:p>
    <w:p w:rsidR="003D1821" w:rsidRPr="00746CF7" w:rsidRDefault="003D1821" w:rsidP="003D1821">
      <w:pPr>
        <w:pStyle w:val="pc"/>
        <w:rPr>
          <w:sz w:val="28"/>
          <w:szCs w:val="28"/>
        </w:rPr>
      </w:pPr>
      <w:r w:rsidRPr="00746CF7">
        <w:rPr>
          <w:sz w:val="28"/>
          <w:szCs w:val="28"/>
        </w:rPr>
        <w:t> </w:t>
      </w:r>
      <w:bookmarkStart w:id="0" w:name="SUB24"/>
      <w:bookmarkEnd w:id="0"/>
    </w:p>
    <w:p w:rsidR="003D1821" w:rsidRPr="00746CF7" w:rsidRDefault="003D1821" w:rsidP="003D1821">
      <w:pPr>
        <w:pStyle w:val="pc"/>
        <w:rPr>
          <w:sz w:val="28"/>
          <w:szCs w:val="28"/>
        </w:rPr>
        <w:sectPr w:rsidR="003D1821" w:rsidRPr="00746CF7" w:rsidSect="003D1821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239"/>
          <w:cols w:space="708"/>
          <w:docGrid w:linePitch="360"/>
        </w:sectPr>
      </w:pPr>
    </w:p>
    <w:p w:rsidR="003D1821" w:rsidRPr="00746CF7" w:rsidRDefault="003D1821" w:rsidP="003D1821">
      <w:pPr>
        <w:pStyle w:val="pr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lastRenderedPageBreak/>
        <w:t xml:space="preserve">Приложение </w:t>
      </w:r>
    </w:p>
    <w:p w:rsidR="003D1821" w:rsidRPr="00746CF7" w:rsidRDefault="003D1821" w:rsidP="003D1821">
      <w:pPr>
        <w:pStyle w:val="pr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t>к форме отчета о кредитах,</w:t>
      </w:r>
    </w:p>
    <w:p w:rsidR="003D1821" w:rsidRPr="00746CF7" w:rsidRDefault="003D1821" w:rsidP="003D1821">
      <w:pPr>
        <w:pStyle w:val="pr"/>
        <w:rPr>
          <w:rStyle w:val="s0"/>
        </w:rPr>
      </w:pPr>
      <w:r w:rsidRPr="00746CF7">
        <w:rPr>
          <w:rStyle w:val="s0"/>
          <w:sz w:val="28"/>
          <w:szCs w:val="28"/>
        </w:rPr>
        <w:t>выданных нерезидентам</w:t>
      </w:r>
      <w:r w:rsidRPr="00746CF7">
        <w:rPr>
          <w:rStyle w:val="s0"/>
        </w:rPr>
        <w:t xml:space="preserve"> </w:t>
      </w:r>
    </w:p>
    <w:p w:rsidR="003D1821" w:rsidRPr="00746CF7" w:rsidRDefault="003D1821" w:rsidP="003D1821">
      <w:pPr>
        <w:pStyle w:val="pc"/>
        <w:rPr>
          <w:lang w:val="kk-KZ"/>
        </w:rPr>
      </w:pPr>
      <w:r w:rsidRPr="00746CF7">
        <w:rPr>
          <w:lang w:val="kk-KZ"/>
        </w:rPr>
        <w:t> </w:t>
      </w:r>
    </w:p>
    <w:p w:rsidR="003D1821" w:rsidRPr="00746CF7" w:rsidRDefault="003D1821" w:rsidP="003D1821">
      <w:pPr>
        <w:pStyle w:val="pc"/>
        <w:rPr>
          <w:lang w:val="kk-KZ"/>
        </w:rPr>
      </w:pPr>
      <w:r w:rsidRPr="00746CF7">
        <w:rPr>
          <w:lang w:val="kk-KZ"/>
        </w:rPr>
        <w:t> </w:t>
      </w:r>
    </w:p>
    <w:p w:rsidR="003D1821" w:rsidRPr="00746CF7" w:rsidRDefault="003D1821" w:rsidP="003D1821">
      <w:pPr>
        <w:pStyle w:val="pc"/>
        <w:rPr>
          <w:rStyle w:val="s1"/>
          <w:sz w:val="28"/>
          <w:szCs w:val="28"/>
        </w:rPr>
      </w:pPr>
      <w:r w:rsidRPr="00746CF7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:rsidR="003D1821" w:rsidRPr="00746CF7" w:rsidRDefault="003D1821" w:rsidP="003D1821">
      <w:pPr>
        <w:pStyle w:val="pc"/>
        <w:rPr>
          <w:rStyle w:val="s1"/>
          <w:sz w:val="28"/>
          <w:szCs w:val="28"/>
        </w:rPr>
      </w:pPr>
      <w:r w:rsidRPr="00746CF7">
        <w:rPr>
          <w:rStyle w:val="s1"/>
          <w:sz w:val="28"/>
          <w:szCs w:val="28"/>
        </w:rPr>
        <w:br/>
        <w:t>«Отчет о кредитах, выданных нерезидентам»</w:t>
      </w:r>
    </w:p>
    <w:p w:rsidR="003D1821" w:rsidRPr="00746CF7" w:rsidRDefault="003D1821" w:rsidP="003D1821">
      <w:pPr>
        <w:pStyle w:val="pc"/>
        <w:rPr>
          <w:rStyle w:val="s1"/>
          <w:sz w:val="28"/>
          <w:szCs w:val="28"/>
        </w:rPr>
      </w:pPr>
      <w:r w:rsidRPr="00746CF7">
        <w:rPr>
          <w:rStyle w:val="s1"/>
          <w:sz w:val="28"/>
          <w:szCs w:val="28"/>
        </w:rPr>
        <w:t xml:space="preserve"> (индекс 17-ПБ, периодичность квартальная)</w:t>
      </w:r>
    </w:p>
    <w:p w:rsidR="003D1821" w:rsidRPr="00746CF7" w:rsidRDefault="003D1821" w:rsidP="003D1821">
      <w:pPr>
        <w:pStyle w:val="pc"/>
        <w:rPr>
          <w:rStyle w:val="s1"/>
          <w:sz w:val="28"/>
          <w:szCs w:val="28"/>
        </w:rPr>
      </w:pPr>
    </w:p>
    <w:p w:rsidR="003D1821" w:rsidRPr="00746CF7" w:rsidRDefault="003D1821" w:rsidP="003D1821">
      <w:pPr>
        <w:pStyle w:val="pc"/>
        <w:rPr>
          <w:rStyle w:val="s1"/>
          <w:sz w:val="28"/>
          <w:szCs w:val="28"/>
        </w:rPr>
      </w:pPr>
    </w:p>
    <w:p w:rsidR="003D1821" w:rsidRPr="00746CF7" w:rsidRDefault="003D1821" w:rsidP="003D1821">
      <w:pPr>
        <w:pStyle w:val="pc"/>
        <w:rPr>
          <w:b/>
          <w:sz w:val="28"/>
          <w:szCs w:val="28"/>
        </w:rPr>
      </w:pPr>
      <w:r w:rsidRPr="00746CF7">
        <w:rPr>
          <w:rStyle w:val="s1"/>
          <w:b w:val="0"/>
          <w:sz w:val="28"/>
          <w:szCs w:val="28"/>
        </w:rPr>
        <w:t>Глава 1. Общие положения</w:t>
      </w:r>
    </w:p>
    <w:p w:rsidR="003D1821" w:rsidRPr="00746CF7" w:rsidRDefault="003D1821" w:rsidP="003D1821">
      <w:pPr>
        <w:pStyle w:val="pc"/>
        <w:rPr>
          <w:sz w:val="28"/>
          <w:szCs w:val="28"/>
        </w:rPr>
      </w:pPr>
      <w:r w:rsidRPr="00746CF7">
        <w:rPr>
          <w:sz w:val="28"/>
          <w:szCs w:val="28"/>
        </w:rPr>
        <w:t> 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 кредитах, выданных нерезидентам» (индекс 17-ПБ, периодичность квартальная) (далее – статистическая форма).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  <w:r w:rsidRPr="00746CF7">
        <w:rPr>
          <w:sz w:val="28"/>
          <w:szCs w:val="28"/>
        </w:rPr>
        <w:t>3. Статистическая форма представляется ежеквартально А</w:t>
      </w:r>
      <w:r w:rsidRPr="00746CF7">
        <w:rPr>
          <w:rStyle w:val="s0"/>
          <w:sz w:val="28"/>
          <w:szCs w:val="28"/>
        </w:rPr>
        <w:t>кционерным обществом «БТА БАНК»</w:t>
      </w:r>
      <w:r w:rsidRPr="00746CF7">
        <w:rPr>
          <w:rStyle w:val="s0"/>
          <w:sz w:val="28"/>
          <w:szCs w:val="28"/>
          <w:lang w:val="kk-KZ"/>
        </w:rPr>
        <w:t xml:space="preserve"> </w:t>
      </w:r>
      <w:r w:rsidRPr="00746CF7">
        <w:rPr>
          <w:rStyle w:val="s0"/>
          <w:sz w:val="28"/>
          <w:szCs w:val="28"/>
        </w:rPr>
        <w:t>(далее – АО «БТА БАНК») по кредитам, выданным нерезидентам, номинированным как в иностранной валюте, так и в тенге, в целом по системе банка (при наличии).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t>4.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t>5. Статистическую форму подписывает руководитель, главный бухгалтер или лица, уполномоченные на подписание отчета, и исполнитель.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t xml:space="preserve"> 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</w:p>
    <w:p w:rsidR="003D1821" w:rsidRPr="00746CF7" w:rsidRDefault="003D1821" w:rsidP="003D1821">
      <w:pPr>
        <w:pStyle w:val="pj"/>
        <w:ind w:firstLine="709"/>
        <w:jc w:val="center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Глава 2. Заполнение статистической формы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</w:p>
    <w:p w:rsidR="003D1821" w:rsidRPr="00746CF7" w:rsidRDefault="003D1821" w:rsidP="003D1821">
      <w:pPr>
        <w:pStyle w:val="pj"/>
        <w:ind w:firstLine="709"/>
        <w:rPr>
          <w:color w:val="auto"/>
          <w:sz w:val="28"/>
          <w:szCs w:val="28"/>
        </w:rPr>
      </w:pPr>
      <w:r w:rsidRPr="00746CF7">
        <w:rPr>
          <w:rStyle w:val="s0"/>
          <w:sz w:val="28"/>
          <w:szCs w:val="28"/>
          <w:lang w:val="kk-KZ"/>
        </w:rPr>
        <w:t>6</w:t>
      </w:r>
      <w:r w:rsidRPr="00746CF7">
        <w:rPr>
          <w:rStyle w:val="s0"/>
          <w:sz w:val="28"/>
          <w:szCs w:val="28"/>
        </w:rPr>
        <w:t xml:space="preserve">. При заполнении статистической формы используются понятия в значениях, определенных в </w:t>
      </w:r>
      <w:r w:rsidRPr="00746CF7">
        <w:rPr>
          <w:sz w:val="28"/>
          <w:szCs w:val="28"/>
        </w:rPr>
        <w:t>Законе</w:t>
      </w:r>
      <w:r w:rsidRPr="00746CF7">
        <w:rPr>
          <w:rStyle w:val="s0"/>
          <w:color w:val="auto"/>
          <w:sz w:val="28"/>
          <w:szCs w:val="28"/>
        </w:rPr>
        <w:t xml:space="preserve"> Республики Казахстан «О валютном регулировании и валютном контроле».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  <w:lang w:val="kk-KZ"/>
        </w:rPr>
        <w:t>7</w:t>
      </w:r>
      <w:r w:rsidRPr="00746CF7">
        <w:rPr>
          <w:rStyle w:val="s0"/>
          <w:sz w:val="28"/>
          <w:szCs w:val="28"/>
        </w:rPr>
        <w:t xml:space="preserve">. АО «БТА БАНК» в статистической форме отражает информацию по каждому кредиту, выданному нерезиденту и непогашенному на начало и (или) конец отчетного периода, включая кредиты, вынесенные на счета просроченной задолженности. В форме не отражается информация по кредитам, которым присвоены учетные номера или на которые оформлены регистрационные свидетельства в соответствии </w:t>
      </w:r>
      <w:r w:rsidRPr="00746CF7">
        <w:rPr>
          <w:rStyle w:val="s0"/>
          <w:color w:val="auto"/>
          <w:sz w:val="28"/>
          <w:szCs w:val="28"/>
        </w:rPr>
        <w:t xml:space="preserve">с </w:t>
      </w:r>
      <w:r w:rsidRPr="00746CF7">
        <w:rPr>
          <w:sz w:val="28"/>
          <w:szCs w:val="28"/>
        </w:rPr>
        <w:t>Законом</w:t>
      </w:r>
      <w:r w:rsidRPr="00746CF7">
        <w:rPr>
          <w:rStyle w:val="s0"/>
          <w:color w:val="auto"/>
          <w:sz w:val="28"/>
          <w:szCs w:val="28"/>
        </w:rPr>
        <w:t xml:space="preserve"> Республики </w:t>
      </w:r>
      <w:r w:rsidRPr="00746CF7">
        <w:rPr>
          <w:rStyle w:val="s0"/>
          <w:sz w:val="28"/>
          <w:szCs w:val="28"/>
        </w:rPr>
        <w:t>Казахстан «О валютном регулировании и валютном контроле».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lastRenderedPageBreak/>
        <w:t xml:space="preserve">В графах А-Л отражается информация о заемщике-нерезиденте и об условиях его кредитования. 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графах 1-15 отражается информация об освоении, погашении и обслуживании кредитов в отчетном периоде.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Все суммы в графах 1-6, 8-13 указываются в тысячах тенге, в целых числах.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  <w:lang w:val="kk-KZ"/>
        </w:rPr>
        <w:t>8</w:t>
      </w:r>
      <w:r w:rsidRPr="00746CF7">
        <w:rPr>
          <w:rStyle w:val="s0"/>
          <w:sz w:val="28"/>
          <w:szCs w:val="28"/>
        </w:rPr>
        <w:t>. В графе 1 отражается непогашенный основной долг на начало отчетного периода, включая просроченный.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2 отражается увеличение в отчетном периоде основного долга за счет выдачи кредита, капитализации вознаграждения и реорганизации долга.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3 отражается уменьшение в отчетном периоде основного долга, в том числе просроченного, за счет погашения и реорганизации долга.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4 отражается изменение стоимости (объема) основного долга в результате изменения курса валют, в графе 5 – в результате прочих изменений.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6 отражается непогашенный на конец отчетного периода основной долг, включая просроченный.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8 отражается задолженность по вознаграждению на начало отчетного периода, включая просроченную задолженность по вознаграждению.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9 отражается начисление в отчетном периоде банком вознаграждения.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10 отражаются оплаченные платежи по вознаграждению и капитализированные вознаграждения.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11 отражается изменение стоимости (объема) вознаграждения в результате изменения курса валют, в графе 12 – в результате прочих изменений.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13 указывается задолженность по вознаграждению, включая просроченную, на конец отчетного периода.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В графе 15 расшифровывается информация об условиях реорганизации долга, а также о других изменениях стоимости (объема) основного долга, вознаграждения, в том числе, указанных в графах 5 и (или) 12.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  <w:lang w:val="kk-KZ"/>
        </w:rPr>
        <w:t>9</w:t>
      </w:r>
      <w:r w:rsidRPr="00746CF7">
        <w:rPr>
          <w:rStyle w:val="s0"/>
          <w:sz w:val="28"/>
          <w:szCs w:val="28"/>
        </w:rPr>
        <w:t>. Основными видами реорганизации долга являются досрочное погашение, прощение, изменение основных условий кредитования (в том числе валюты, ставки вознаграждения), обмен долга на инструменты участия в капитале (заемщика и (или) третьих лиц), недвижимость и иной актив заемщика, долговые ценные бумаги заемщика, поставки товара и иные долговые обязательства заемщика, уступка требования (перевод долга) в случаях, когда новый кредитор является нерезидентом (новый должник является резидентом).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  <w:lang w:val="kk-KZ"/>
        </w:rPr>
        <w:t>10</w:t>
      </w:r>
      <w:r w:rsidRPr="00746CF7">
        <w:rPr>
          <w:rStyle w:val="s0"/>
          <w:sz w:val="28"/>
          <w:szCs w:val="28"/>
        </w:rPr>
        <w:t xml:space="preserve">. К прочим изменениям стоимости (объема) основного долга, вознаграждения относятся изменения, вызванные изменением резидентной принадлежности заемщика, за счет списания задолженности «за баланс» в одностороннем порядке, за счет уступки требований к заемщику другому резиденту Республики Казахстан, перевода долга заемщиком другому </w:t>
      </w:r>
      <w:r w:rsidRPr="00746CF7">
        <w:rPr>
          <w:rStyle w:val="s0"/>
          <w:sz w:val="28"/>
          <w:szCs w:val="28"/>
        </w:rPr>
        <w:lastRenderedPageBreak/>
        <w:t>нерезиденту Республики Казахстан, принятие вознаграждения по договорам уступки требований (перевода долга).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t>1</w:t>
      </w:r>
      <w:r w:rsidRPr="00746CF7">
        <w:rPr>
          <w:rStyle w:val="s0"/>
          <w:sz w:val="28"/>
          <w:szCs w:val="28"/>
          <w:lang w:val="kk-KZ"/>
        </w:rPr>
        <w:t>1</w:t>
      </w:r>
      <w:r w:rsidRPr="00746CF7">
        <w:rPr>
          <w:rStyle w:val="s0"/>
          <w:sz w:val="28"/>
          <w:szCs w:val="28"/>
        </w:rPr>
        <w:t>. Отсутствие уточняющей информации в графе 15 не является нарушением.</w:t>
      </w:r>
    </w:p>
    <w:p w:rsidR="003D1821" w:rsidRPr="00746CF7" w:rsidRDefault="003D1821" w:rsidP="003D1821">
      <w:pPr>
        <w:pStyle w:val="pj"/>
        <w:ind w:firstLine="709"/>
        <w:rPr>
          <w:rStyle w:val="s0"/>
          <w:strike/>
          <w:sz w:val="28"/>
          <w:szCs w:val="28"/>
        </w:rPr>
      </w:pPr>
      <w:r w:rsidRPr="00746CF7">
        <w:rPr>
          <w:rStyle w:val="s0"/>
          <w:sz w:val="28"/>
          <w:szCs w:val="28"/>
        </w:rPr>
        <w:t>1</w:t>
      </w:r>
      <w:r w:rsidRPr="00746CF7">
        <w:rPr>
          <w:rStyle w:val="s0"/>
          <w:sz w:val="28"/>
          <w:szCs w:val="28"/>
          <w:lang w:val="kk-KZ"/>
        </w:rPr>
        <w:t>2</w:t>
      </w:r>
      <w:r w:rsidRPr="00746CF7">
        <w:rPr>
          <w:rStyle w:val="s0"/>
          <w:sz w:val="28"/>
          <w:szCs w:val="28"/>
        </w:rPr>
        <w:t>. Статистическая форма представляется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</w:p>
    <w:p w:rsidR="003D1821" w:rsidRPr="00746CF7" w:rsidRDefault="003D1821" w:rsidP="003D1821">
      <w:pPr>
        <w:pStyle w:val="pj"/>
        <w:ind w:firstLine="709"/>
        <w:rPr>
          <w:rStyle w:val="s0"/>
          <w:sz w:val="28"/>
          <w:szCs w:val="28"/>
        </w:rPr>
      </w:pPr>
    </w:p>
    <w:p w:rsidR="003D1821" w:rsidRPr="00746CF7" w:rsidRDefault="003D1821" w:rsidP="003D1821">
      <w:pPr>
        <w:pStyle w:val="pj"/>
        <w:ind w:firstLine="709"/>
        <w:jc w:val="center"/>
        <w:rPr>
          <w:rStyle w:val="s0"/>
          <w:sz w:val="28"/>
          <w:szCs w:val="28"/>
        </w:rPr>
      </w:pPr>
      <w:r w:rsidRPr="00746CF7">
        <w:rPr>
          <w:rStyle w:val="s0"/>
          <w:sz w:val="28"/>
          <w:szCs w:val="28"/>
        </w:rPr>
        <w:t>Глава 3. Арифметико-логический контроль</w:t>
      </w:r>
    </w:p>
    <w:p w:rsidR="003D1821" w:rsidRPr="00746CF7" w:rsidRDefault="003D1821" w:rsidP="003D1821">
      <w:pPr>
        <w:pStyle w:val="pj"/>
        <w:ind w:firstLine="709"/>
        <w:jc w:val="center"/>
        <w:rPr>
          <w:b/>
          <w:sz w:val="28"/>
          <w:szCs w:val="28"/>
        </w:rPr>
      </w:pP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1</w:t>
      </w:r>
      <w:r w:rsidRPr="00746CF7">
        <w:rPr>
          <w:rStyle w:val="s0"/>
          <w:sz w:val="28"/>
          <w:szCs w:val="28"/>
          <w:lang w:val="kk-KZ"/>
        </w:rPr>
        <w:t>3</w:t>
      </w:r>
      <w:r w:rsidRPr="00746CF7">
        <w:rPr>
          <w:rStyle w:val="s0"/>
          <w:sz w:val="28"/>
          <w:szCs w:val="28"/>
        </w:rPr>
        <w:t>. Арифметико-логический контроль: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графа 1 = графа 6 статистической формы за предыдущий квартал;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графа 6 = графа 1 + графа 2 – графа 3 + графа 4 + графа 5;</w:t>
      </w:r>
    </w:p>
    <w:p w:rsidR="003D1821" w:rsidRPr="00746CF7" w:rsidRDefault="003D1821" w:rsidP="003D1821">
      <w:pPr>
        <w:pStyle w:val="pj"/>
        <w:ind w:firstLine="709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графа 8 = графа 13 статистической формы за предыдущий квартал;</w:t>
      </w:r>
    </w:p>
    <w:p w:rsidR="00CB770B" w:rsidRPr="0032253D" w:rsidRDefault="003D1821" w:rsidP="003D1821">
      <w:pPr>
        <w:widowControl w:val="0"/>
        <w:ind w:firstLine="708"/>
        <w:rPr>
          <w:sz w:val="28"/>
          <w:szCs w:val="28"/>
        </w:rPr>
      </w:pPr>
      <w:r w:rsidRPr="00746CF7">
        <w:rPr>
          <w:rStyle w:val="s0"/>
          <w:sz w:val="28"/>
          <w:szCs w:val="28"/>
        </w:rPr>
        <w:t>графа 13 = графа 8 + графа 9 – графа 10 + графа 11 + графа 12.</w:t>
      </w:r>
      <w:bookmarkStart w:id="1" w:name="_GoBack"/>
      <w:bookmarkEnd w:id="1"/>
    </w:p>
    <w:sectPr w:rsidR="00CB770B" w:rsidRPr="0032253D" w:rsidSect="003D1821">
      <w:headerReference w:type="default" r:id="rId12"/>
      <w:pgSz w:w="11906" w:h="16838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C6" w:rsidRDefault="00BB07C6">
      <w:r>
        <w:separator/>
      </w:r>
    </w:p>
  </w:endnote>
  <w:endnote w:type="continuationSeparator" w:id="0">
    <w:p w:rsidR="00BB07C6" w:rsidRDefault="00BB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C6" w:rsidRDefault="00BB07C6">
      <w:r>
        <w:separator/>
      </w:r>
    </w:p>
  </w:footnote>
  <w:footnote w:type="continuationSeparator" w:id="0">
    <w:p w:rsidR="00BB07C6" w:rsidRDefault="00BB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17300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D1821" w:rsidRPr="00FE369A" w:rsidRDefault="003D1821">
        <w:pPr>
          <w:pStyle w:val="ae"/>
          <w:jc w:val="center"/>
          <w:rPr>
            <w:sz w:val="28"/>
          </w:rPr>
        </w:pPr>
        <w:r w:rsidRPr="00FE369A">
          <w:rPr>
            <w:sz w:val="28"/>
          </w:rPr>
          <w:fldChar w:fldCharType="begin"/>
        </w:r>
        <w:r w:rsidRPr="00FE369A">
          <w:rPr>
            <w:sz w:val="28"/>
          </w:rPr>
          <w:instrText>PAGE   \* MERGEFORMAT</w:instrText>
        </w:r>
        <w:r w:rsidRPr="00FE369A">
          <w:rPr>
            <w:sz w:val="28"/>
          </w:rPr>
          <w:fldChar w:fldCharType="separate"/>
        </w:r>
        <w:r w:rsidR="00746CF7">
          <w:rPr>
            <w:noProof/>
            <w:sz w:val="28"/>
          </w:rPr>
          <w:t>239</w:t>
        </w:r>
        <w:r w:rsidRPr="00FE369A">
          <w:rPr>
            <w:sz w:val="28"/>
          </w:rPr>
          <w:fldChar w:fldCharType="end"/>
        </w:r>
      </w:p>
    </w:sdtContent>
  </w:sdt>
  <w:p w:rsidR="003D1821" w:rsidRDefault="003D182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43918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03694" w:rsidRPr="00FE369A" w:rsidRDefault="00203694">
        <w:pPr>
          <w:pStyle w:val="ae"/>
          <w:jc w:val="center"/>
          <w:rPr>
            <w:sz w:val="28"/>
          </w:rPr>
        </w:pPr>
        <w:r w:rsidRPr="00FE369A">
          <w:rPr>
            <w:sz w:val="28"/>
          </w:rPr>
          <w:fldChar w:fldCharType="begin"/>
        </w:r>
        <w:r w:rsidRPr="00FE369A">
          <w:rPr>
            <w:sz w:val="28"/>
          </w:rPr>
          <w:instrText>PAGE   \* MERGEFORMAT</w:instrText>
        </w:r>
        <w:r w:rsidRPr="00FE369A">
          <w:rPr>
            <w:sz w:val="28"/>
          </w:rPr>
          <w:fldChar w:fldCharType="separate"/>
        </w:r>
        <w:r w:rsidR="00746CF7">
          <w:rPr>
            <w:noProof/>
            <w:sz w:val="28"/>
          </w:rPr>
          <w:t>246</w:t>
        </w:r>
        <w:r w:rsidRPr="00FE369A">
          <w:rPr>
            <w:sz w:val="28"/>
          </w:rPr>
          <w:fldChar w:fldCharType="end"/>
        </w:r>
      </w:p>
    </w:sdtContent>
  </w:sdt>
  <w:p w:rsidR="00203694" w:rsidRDefault="0020369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6"/>
  </w:num>
  <w:num w:numId="3">
    <w:abstractNumId w:val="2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0"/>
  </w:num>
  <w:num w:numId="16">
    <w:abstractNumId w:val="17"/>
  </w:num>
  <w:num w:numId="17">
    <w:abstractNumId w:val="4"/>
  </w:num>
  <w:num w:numId="18">
    <w:abstractNumId w:val="16"/>
  </w:num>
  <w:num w:numId="19">
    <w:abstractNumId w:val="27"/>
  </w:num>
  <w:num w:numId="20">
    <w:abstractNumId w:val="7"/>
  </w:num>
  <w:num w:numId="21">
    <w:abstractNumId w:val="11"/>
  </w:num>
  <w:num w:numId="22">
    <w:abstractNumId w:val="9"/>
  </w:num>
  <w:num w:numId="23">
    <w:abstractNumId w:val="32"/>
  </w:num>
  <w:num w:numId="24">
    <w:abstractNumId w:val="28"/>
  </w:num>
  <w:num w:numId="25">
    <w:abstractNumId w:val="18"/>
  </w:num>
  <w:num w:numId="26">
    <w:abstractNumId w:val="31"/>
  </w:num>
  <w:num w:numId="27">
    <w:abstractNumId w:val="24"/>
  </w:num>
  <w:num w:numId="28">
    <w:abstractNumId w:val="3"/>
  </w:num>
  <w:num w:numId="29">
    <w:abstractNumId w:val="8"/>
  </w:num>
  <w:num w:numId="30">
    <w:abstractNumId w:val="5"/>
  </w:num>
  <w:num w:numId="31">
    <w:abstractNumId w:val="23"/>
  </w:num>
  <w:num w:numId="32">
    <w:abstractNumId w:val="0"/>
  </w:num>
  <w:num w:numId="33">
    <w:abstractNumId w:val="10"/>
  </w:num>
  <w:num w:numId="34">
    <w:abstractNumId w:val="1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33D9D"/>
    <w:rsid w:val="00035122"/>
    <w:rsid w:val="000D68F9"/>
    <w:rsid w:val="000F5896"/>
    <w:rsid w:val="001416AD"/>
    <w:rsid w:val="00196968"/>
    <w:rsid w:val="001E7B42"/>
    <w:rsid w:val="00203694"/>
    <w:rsid w:val="00246FE0"/>
    <w:rsid w:val="00257766"/>
    <w:rsid w:val="002637F8"/>
    <w:rsid w:val="002918C4"/>
    <w:rsid w:val="002A2E7D"/>
    <w:rsid w:val="002B0FB8"/>
    <w:rsid w:val="002C598D"/>
    <w:rsid w:val="002D4613"/>
    <w:rsid w:val="002E524A"/>
    <w:rsid w:val="00306C8F"/>
    <w:rsid w:val="00312BDC"/>
    <w:rsid w:val="0032253D"/>
    <w:rsid w:val="00370C02"/>
    <w:rsid w:val="00380A66"/>
    <w:rsid w:val="003C27C6"/>
    <w:rsid w:val="003D1821"/>
    <w:rsid w:val="003E4182"/>
    <w:rsid w:val="0041549E"/>
    <w:rsid w:val="004408A8"/>
    <w:rsid w:val="00492F31"/>
    <w:rsid w:val="004B1083"/>
    <w:rsid w:val="004B5E01"/>
    <w:rsid w:val="005E2B6C"/>
    <w:rsid w:val="006022EC"/>
    <w:rsid w:val="0060355C"/>
    <w:rsid w:val="00664407"/>
    <w:rsid w:val="006E12B0"/>
    <w:rsid w:val="006F0A04"/>
    <w:rsid w:val="006F2186"/>
    <w:rsid w:val="006F6EAF"/>
    <w:rsid w:val="0073484D"/>
    <w:rsid w:val="00746CF7"/>
    <w:rsid w:val="00755358"/>
    <w:rsid w:val="0076774A"/>
    <w:rsid w:val="00774F7A"/>
    <w:rsid w:val="007A1290"/>
    <w:rsid w:val="007B241E"/>
    <w:rsid w:val="007D2FD2"/>
    <w:rsid w:val="007E671C"/>
    <w:rsid w:val="00825EE2"/>
    <w:rsid w:val="0086176F"/>
    <w:rsid w:val="0099366C"/>
    <w:rsid w:val="00A52D21"/>
    <w:rsid w:val="00AC1413"/>
    <w:rsid w:val="00AD6090"/>
    <w:rsid w:val="00B46600"/>
    <w:rsid w:val="00B5779B"/>
    <w:rsid w:val="00BB07C6"/>
    <w:rsid w:val="00BC5A99"/>
    <w:rsid w:val="00BD1165"/>
    <w:rsid w:val="00BF31D3"/>
    <w:rsid w:val="00BF634C"/>
    <w:rsid w:val="00C01A88"/>
    <w:rsid w:val="00C34181"/>
    <w:rsid w:val="00CA4D7D"/>
    <w:rsid w:val="00CB770B"/>
    <w:rsid w:val="00CD0C8A"/>
    <w:rsid w:val="00D0143D"/>
    <w:rsid w:val="00D25FE6"/>
    <w:rsid w:val="00D3732A"/>
    <w:rsid w:val="00DB1E3A"/>
    <w:rsid w:val="00DB3F0B"/>
    <w:rsid w:val="00F15EB5"/>
    <w:rsid w:val="00F403FB"/>
    <w:rsid w:val="00F92FE8"/>
    <w:rsid w:val="00FA4092"/>
    <w:rsid w:val="00F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44E3E-7B85-4D8E-9E2F-9E231247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2D21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52D2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52D2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A52D21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52D21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2D21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52D21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52D21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2D21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52D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2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2D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52D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52D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52D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c">
    <w:name w:val="FollowedHyperlink"/>
    <w:uiPriority w:val="99"/>
    <w:semiHidden/>
    <w:unhideWhenUsed/>
    <w:rsid w:val="00A52D21"/>
    <w:rPr>
      <w:color w:val="800080"/>
      <w:u w:val="single"/>
    </w:rPr>
  </w:style>
  <w:style w:type="paragraph" w:styleId="ad">
    <w:name w:val="Normal (Web)"/>
    <w:basedOn w:val="a"/>
    <w:semiHidden/>
    <w:unhideWhenUsed/>
    <w:rsid w:val="00A52D21"/>
  </w:style>
  <w:style w:type="character" w:customStyle="1" w:styleId="s19">
    <w:name w:val="s19"/>
    <w:rsid w:val="00A52D2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A52D2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52D2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A52D21"/>
    <w:rPr>
      <w:rFonts w:ascii="Times New Roman" w:hAnsi="Times New Roman" w:cs="Times New Roman" w:hint="default"/>
      <w:color w:val="333399"/>
      <w:u w:val="single"/>
    </w:rPr>
  </w:style>
  <w:style w:type="paragraph" w:styleId="ae">
    <w:name w:val="header"/>
    <w:basedOn w:val="a"/>
    <w:link w:val="af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">
    <w:name w:val="Верхний колонтитул Знак"/>
    <w:basedOn w:val="a0"/>
    <w:link w:val="ae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1">
    <w:name w:val="Нижний колонтитул Знак"/>
    <w:basedOn w:val="a0"/>
    <w:link w:val="af0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52D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A52D21"/>
    <w:pPr>
      <w:jc w:val="right"/>
    </w:pPr>
    <w:rPr>
      <w:color w:val="000000"/>
    </w:rPr>
  </w:style>
  <w:style w:type="paragraph" w:customStyle="1" w:styleId="pc">
    <w:name w:val="pc"/>
    <w:basedOn w:val="a"/>
    <w:rsid w:val="00A52D21"/>
    <w:pPr>
      <w:jc w:val="center"/>
    </w:pPr>
    <w:rPr>
      <w:color w:val="000000"/>
    </w:rPr>
  </w:style>
  <w:style w:type="paragraph" w:customStyle="1" w:styleId="pj">
    <w:name w:val="pj"/>
    <w:basedOn w:val="a"/>
    <w:rsid w:val="00A52D21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A52D21"/>
    <w:rPr>
      <w:color w:val="000000"/>
    </w:rPr>
  </w:style>
  <w:style w:type="paragraph" w:styleId="af3">
    <w:name w:val="List Paragraph"/>
    <w:basedOn w:val="a"/>
    <w:uiPriority w:val="34"/>
    <w:qFormat/>
    <w:rsid w:val="00A52D21"/>
    <w:pPr>
      <w:ind w:left="720"/>
      <w:contextualSpacing/>
    </w:pPr>
    <w:rPr>
      <w:color w:val="000000"/>
    </w:rPr>
  </w:style>
  <w:style w:type="paragraph" w:styleId="af4">
    <w:name w:val="No Spacing"/>
    <w:uiPriority w:val="1"/>
    <w:qFormat/>
    <w:rsid w:val="00A52D21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D21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52D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A52D2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A52D21"/>
    <w:pPr>
      <w:jc w:val="center"/>
    </w:pPr>
    <w:rPr>
      <w:b/>
      <w:bCs/>
      <w:color w:val="000000"/>
      <w:szCs w:val="20"/>
    </w:rPr>
  </w:style>
  <w:style w:type="character" w:customStyle="1" w:styleId="af8">
    <w:name w:val="Заголовок Знак"/>
    <w:basedOn w:val="a0"/>
    <w:link w:val="af7"/>
    <w:rsid w:val="00A52D2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f9">
    <w:name w:val="Body Text"/>
    <w:basedOn w:val="a"/>
    <w:link w:val="afa"/>
    <w:semiHidden/>
    <w:unhideWhenUsed/>
    <w:rsid w:val="00A52D21"/>
    <w:pPr>
      <w:jc w:val="both"/>
    </w:pPr>
  </w:style>
  <w:style w:type="character" w:customStyle="1" w:styleId="afa">
    <w:name w:val="Основной текст Знак"/>
    <w:basedOn w:val="a0"/>
    <w:link w:val="af9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unhideWhenUsed/>
    <w:rsid w:val="00A52D21"/>
    <w:pPr>
      <w:ind w:firstLine="709"/>
      <w:jc w:val="both"/>
    </w:pPr>
  </w:style>
  <w:style w:type="character" w:customStyle="1" w:styleId="afc">
    <w:name w:val="Основной текст с отступом Знак"/>
    <w:basedOn w:val="a0"/>
    <w:link w:val="afb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52D21"/>
    <w:pPr>
      <w:spacing w:before="120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semiHidden/>
    <w:rsid w:val="00A52D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52D21"/>
    <w:pPr>
      <w:tabs>
        <w:tab w:val="num" w:pos="0"/>
      </w:tabs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A52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A52D21"/>
    <w:pPr>
      <w:tabs>
        <w:tab w:val="left" w:pos="0"/>
      </w:tabs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A52D21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A5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A5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A52D21"/>
    <w:pPr>
      <w:snapToGrid w:val="0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A52D21"/>
    <w:pPr>
      <w:snapToGrid w:val="0"/>
      <w:jc w:val="both"/>
    </w:pPr>
    <w:rPr>
      <w:szCs w:val="20"/>
    </w:rPr>
  </w:style>
  <w:style w:type="paragraph" w:customStyle="1" w:styleId="aff">
    <w:name w:val="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A52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A52D21"/>
  </w:style>
  <w:style w:type="table" w:customStyle="1" w:styleId="13">
    <w:name w:val="Сетка таблицы1"/>
    <w:basedOn w:val="a1"/>
    <w:next w:val="a3"/>
    <w:rsid w:val="007B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48</cp:revision>
  <dcterms:created xsi:type="dcterms:W3CDTF">2022-12-19T09:52:00Z</dcterms:created>
  <dcterms:modified xsi:type="dcterms:W3CDTF">2023-05-31T05:58:00Z</dcterms:modified>
</cp:coreProperties>
</file>