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AC7FB" w14:textId="77777777" w:rsidR="00830490" w:rsidRPr="00830490" w:rsidRDefault="00830490" w:rsidP="00830490">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bookmarkStart w:id="0" w:name="_GoBack"/>
      <w:r w:rsidRPr="00830490">
        <w:rPr>
          <w:rFonts w:ascii="Times New Roman" w:eastAsia="Times New Roman" w:hAnsi="Times New Roman" w:cs="Times New Roman"/>
          <w:color w:val="000000"/>
          <w:sz w:val="24"/>
          <w:szCs w:val="24"/>
          <w:lang w:eastAsia="ru-RU"/>
        </w:rPr>
        <w:t>Қазақстан Реcпубликасының</w:t>
      </w:r>
    </w:p>
    <w:p w14:paraId="60F6B835" w14:textId="77777777" w:rsidR="00830490" w:rsidRPr="00830490" w:rsidRDefault="00830490" w:rsidP="00830490">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Қаржы министрі</w:t>
      </w:r>
    </w:p>
    <w:p w14:paraId="7405A2CA" w14:textId="77777777" w:rsidR="00830490" w:rsidRPr="00830490" w:rsidRDefault="00830490" w:rsidP="00830490">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2025 жылғы 12 қарашадағы</w:t>
      </w:r>
    </w:p>
    <w:p w14:paraId="174321E9" w14:textId="77777777" w:rsidR="00830490" w:rsidRPr="00830490" w:rsidRDefault="00830490" w:rsidP="00830490">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 699</w:t>
      </w:r>
    </w:p>
    <w:p w14:paraId="0578AB4F" w14:textId="77777777" w:rsidR="00830490" w:rsidRPr="00830490" w:rsidRDefault="00830490" w:rsidP="00830490">
      <w:pPr>
        <w:shd w:val="clear" w:color="auto" w:fill="FFFFFF"/>
        <w:spacing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бұйрығына 2-қосымша</w:t>
      </w:r>
    </w:p>
    <w:p w14:paraId="0DAF6E44"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«Екінші деңгейдегі банктердің,</w:t>
      </w:r>
    </w:p>
    <w:p w14:paraId="1E25EFC3"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Қазақстан Республикасының</w:t>
      </w:r>
    </w:p>
    <w:p w14:paraId="306BC323"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бейрезидент-банктерінің филиалдары</w:t>
      </w:r>
    </w:p>
    <w:p w14:paraId="3129F181"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мен банк операцияларының</w:t>
      </w:r>
    </w:p>
    <w:p w14:paraId="3122A8E6"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жекелеген түрлерін жүзеге асыратын</w:t>
      </w:r>
    </w:p>
    <w:p w14:paraId="19B63A87"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ұйымдардың, бағалы қағаздарды</w:t>
      </w:r>
    </w:p>
    <w:p w14:paraId="7EEFFEA4"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номиналды ұстаушылар ретінде</w:t>
      </w:r>
    </w:p>
    <w:p w14:paraId="5808E338"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клиенттердің шоттарын жүргізу</w:t>
      </w:r>
    </w:p>
    <w:p w14:paraId="6801CF1B"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құқығына ие инвестициялық</w:t>
      </w:r>
    </w:p>
    <w:p w14:paraId="28733100"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портфельді басқаратындарды қоса</w:t>
      </w:r>
    </w:p>
    <w:p w14:paraId="662B9FF2"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алғанда, кастодиандардың, орталық</w:t>
      </w:r>
    </w:p>
    <w:p w14:paraId="32A3E3AD"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депозитарийдің, брокерлердің</w:t>
      </w:r>
    </w:p>
    <w:p w14:paraId="546238BE"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және (немесе) дилерлердің, қызметін</w:t>
      </w:r>
    </w:p>
    <w:p w14:paraId="5727A325"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«өмірді сақтандыру» саласы</w:t>
      </w:r>
    </w:p>
    <w:p w14:paraId="26AA9F48"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бойынша жүзеге асыратын сақтандыру</w:t>
      </w:r>
    </w:p>
    <w:p w14:paraId="7AAD42A7"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ұйымдарының, сақтандыру (қайта</w:t>
      </w:r>
    </w:p>
    <w:p w14:paraId="63E2F508"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сақтандыру) ұйымдарының,</w:t>
      </w:r>
    </w:p>
    <w:p w14:paraId="14DF1132"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Қазақстан Республикасының</w:t>
      </w:r>
    </w:p>
    <w:p w14:paraId="4CA3641C"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бейрезидент-сақтандыру (қайта</w:t>
      </w:r>
    </w:p>
    <w:p w14:paraId="334461CF"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сақтандыру) ұйымдары филиалдарының</w:t>
      </w:r>
    </w:p>
    <w:p w14:paraId="616921A8"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және сақтандыру брокерлерінің</w:t>
      </w:r>
    </w:p>
    <w:p w14:paraId="193D139C"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мемлекеттік кірістер органдарына</w:t>
      </w:r>
    </w:p>
    <w:p w14:paraId="5725F886" w14:textId="77777777" w:rsidR="00830490" w:rsidRPr="00830490" w:rsidRDefault="00830490" w:rsidP="00830490">
      <w:pPr>
        <w:spacing w:after="0"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ұсынатын мәліметтер» (019.00-нысан)»</w:t>
      </w:r>
    </w:p>
    <w:p w14:paraId="66BC1700" w14:textId="77777777" w:rsidR="00830490" w:rsidRPr="00830490" w:rsidRDefault="00830490" w:rsidP="00830490">
      <w:pPr>
        <w:spacing w:line="240" w:lineRule="auto"/>
        <w:jc w:val="right"/>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нысанына қосымша</w:t>
      </w:r>
    </w:p>
    <w:bookmarkEnd w:id="0"/>
    <w:p w14:paraId="58CB5189" w14:textId="77777777" w:rsidR="00830490" w:rsidRPr="00830490" w:rsidRDefault="00830490" w:rsidP="00830490">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830490">
        <w:rPr>
          <w:rFonts w:ascii="Times New Roman" w:eastAsia="Times New Roman" w:hAnsi="Times New Roman" w:cs="Times New Roman"/>
          <w:b/>
          <w:bCs/>
          <w:color w:val="000000"/>
          <w:sz w:val="24"/>
          <w:szCs w:val="24"/>
          <w:lang w:eastAsia="ru-RU"/>
        </w:rPr>
        <w:t>Екінші деңгейдегі банктердің, Қазақстан Республикасының бейрезидент-банктерінің филиалдары мен банк операцияларының жекелеген түрлерін жүзеге асыратын ұйымдардың, бағалы қағаздарды номиналды ұстаушылар ретінде клиенттердің шоттарын жүргізу құқығына ие инвестициялық портфельді басқаратындарды қоса алғанда, кастодиандардың, орталық депозитарийдің, брокерлердің және (немесе) дилерлердің, қызметін «өмірді сақтандыру» саласы бойынша жүзеге асыратын сақтандыру ұйымдарының, сақтандыру (қайта сақтандыру) ұйымдарының, Қазақстан Республикасының бейрезидент-сақтандыру (қайта сақтандыру) ұйымдары филиалдарының және сақтандыру брокерлерінің мемлекеттік кірістер органдарына ұсынатын мәліметтерді толтыру бойынша түсіндірме (019.00-нысан)</w:t>
      </w:r>
    </w:p>
    <w:p w14:paraId="0B03DC40" w14:textId="77777777" w:rsidR="00830490" w:rsidRPr="00830490" w:rsidRDefault="00830490" w:rsidP="00830490">
      <w:pPr>
        <w:spacing w:line="240" w:lineRule="auto"/>
        <w:jc w:val="center"/>
        <w:textAlignment w:val="baseline"/>
        <w:rPr>
          <w:rFonts w:ascii="Times New Roman" w:eastAsia="Times New Roman" w:hAnsi="Times New Roman" w:cs="Times New Roman"/>
          <w:b/>
          <w:bCs/>
          <w:color w:val="000000"/>
          <w:sz w:val="24"/>
          <w:szCs w:val="24"/>
          <w:lang w:eastAsia="ru-RU"/>
        </w:rPr>
      </w:pPr>
      <w:r w:rsidRPr="00830490">
        <w:rPr>
          <w:rFonts w:ascii="Times New Roman" w:eastAsia="Times New Roman" w:hAnsi="Times New Roman" w:cs="Times New Roman"/>
          <w:b/>
          <w:bCs/>
          <w:color w:val="000000"/>
          <w:sz w:val="24"/>
          <w:szCs w:val="24"/>
          <w:lang w:eastAsia="ru-RU"/>
        </w:rPr>
        <w:t>1-тарау. Жалпы ережелер</w:t>
      </w:r>
    </w:p>
    <w:p w14:paraId="2E2530CF"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 xml:space="preserve">1. «Екінші деңгейдегі банктердің, Қазақстан Республикасының бейрезидент-банктерінің филиалдары мен банк операцияларының жекелеген түрлерін жүзеге асыратын ұйымдардың, бағалы қағаздарды номиналды ұстаушылар ретінде клиенттердің шоттарын жүргізу құқығына ие инвестициялық портфельді басқаратындарды қоса алғанда, кастодиандардың, орталық депозитарийдің, брокерлердің және (немесе) дилерлердің, қызметін «өмірді сақтандыру» саласы бойынша жүзеге асыратын сақтандыру ұйымдарының, сақтандыру (қайта сақтандыру) ұйымдарының, Қазақстан Республикасының бейрезидент-сақтандыру (қайта сақтандыру) ұйымдары филиалдарының және сақтандыру брокерлерінің мемлекеттік кірістер органдарына ұсынатын мәліметтер (019.00-нысан)» нысаны (бұдан әрі – 019.00-нысан) Қазақстан Республикасының Қаржы </w:t>
      </w:r>
      <w:r w:rsidRPr="00830490">
        <w:rPr>
          <w:rFonts w:ascii="Times New Roman" w:eastAsia="Times New Roman" w:hAnsi="Times New Roman" w:cs="Times New Roman"/>
          <w:color w:val="000000"/>
          <w:sz w:val="24"/>
          <w:szCs w:val="24"/>
          <w:lang w:eastAsia="ru-RU"/>
        </w:rPr>
        <w:lastRenderedPageBreak/>
        <w:t>министрлігі Мемлекеттік кірістер комитетінің (бұдан әрі - Комитет) екінші деңгейдегі банктерден, Қазақстан Республикасының бейрезидент-банктерінің филиалдары мен банк операцияларының жекелеген түрлерін жүзеге асыратын ұйымдардан, бағалы қағаздарды номиналды ұстаушылар ретінде клиенттердің шоттарын жүргізу құқығына ие инвестициялық портфельді басқаратындарды қоса алғанда, кастодиандардан, орталық депозитарийден, брокерлерден және (немесе) дилерлерден, қызметін «өмірді сақтандыру» саласы бойынша жүзеге асыратын сақтандыру ұйымдарынан, сақтандыру (қайта сақтандыру) ұйымдарынан, Қазақстан Республикасының бейрезидент-сақтандыру (қайта сақтандыру) ұйымдарының филиалдарынан және сақтандыру брокерлерінен (бұдан әрі - есеп беретін қаржы ұйымы) Қазақстан Республикасының Заңымен ратификацияланған Қазақстан Республикасының Үкіметі мен Америка Құрама Штаттарының Үкіметі арасындағы халықаралық салық тәртібін жетілдіру туралы келісімнің (бұдан әрі – FATCA) 3-бабының ережелерін ескере отырып, Америка Құрама Штаттарының (бұдан әрі – АҚШ) резиденттері бойынша мынадай:</w:t>
      </w:r>
    </w:p>
    <w:p w14:paraId="63CE3975"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1) бейрезидент-жеке тұлғалармен, бейрезидент-заңды тұлғалармен, бейрезидент бенефициарлық меншік иелері болып табылатын заңды тұлғалармен жасалған шарттар шеңберінде ашылған бағалы қағаздар мен өзге де қаржы құралдарын есепке алуға арналған жеке шоттардың бар-жоғы туралы, сондай-ақ осы шоттардағы бағалы қағаздар мен өзге де қаржы құралдарының қалдықтары туралы;</w:t>
      </w:r>
    </w:p>
    <w:p w14:paraId="797F298C"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2) шоттардың бар-жоғы, олардың нөмірлері туралы, осы шоттардағы ақша қалдықтары туралы, сондай-ақ өзге мүліктің, оның ішінде шоттарда орналастырылған немесе бейрезидент-жеке тұлғалардың, бейрезидент-заңды тұлғалардың, бейрезиденттер бенефициарлық меншік иелері болып табылатын заңды тұлғалардың басқаруында өзге мүліктің бар-жоғы, түрі және құны туралы мәліметтер;</w:t>
      </w:r>
    </w:p>
    <w:p w14:paraId="1E69DD37"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3) бейрезидент-жеке тұлғаларға, бейрезидент-заңды тұлғаларға, сондай-ақ бейрезиденттер бенефициарлық меншік иелері болып табылатын заңды тұлғаларға тиесілі бағалы қағаздарды қоспағанда, өзге активтердің бар-жоғы туралы;</w:t>
      </w:r>
    </w:p>
    <w:p w14:paraId="5E585C79"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4) шет мемлекеттің уәкілетті органының ақпарат алмасу туралы халықаралық шартқа сәйкес жіберген сұрау салуында көрсетілген жеке және заңды тұлғаларға тиесілі, осы тармақтың 2) тармақшасында көрсетілгендерді қоспағанда, өзге активтердің, сондай-ақ осындай тұлғалар жеке немесе заңды тұлғамен жасасқан шартқа қатысты өзге де ақпараттың бар-жоғы туралы;</w:t>
      </w:r>
    </w:p>
    <w:p w14:paraId="7EE07175"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5) бейрезидент-жеке тұлғалар пайда алушылар болып табылатын, жасалған жинақтаушы сақтандыру шарттары туралы;</w:t>
      </w:r>
    </w:p>
    <w:p w14:paraId="036D9E1A"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6) шет мемлекеттің уәкілетті органының ақпарат алмасу туралы халықаралық шартқа сәйкес жіберген сұрау салуында көрсетілген жеке тұлғалар пайда алушылар болып табылатын, жасалған жинақтаушы сақтандыру шарттары, сондай-ақ осы жинақтаушы сақтандыру шарттарына қатысты өзге де ақпарат туралы;</w:t>
      </w:r>
    </w:p>
    <w:p w14:paraId="1F570405"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7) ақпарат алмасу туралы халықаралық шартқа сәйкес банктік шоттардың бар-жоғы және олардың нөмірлері туралы, осы шоттардағы ақша қалдықтары туралы, өзге де мүліктің, оның ішінде металл шоттарда орналастырылған немесе бейрезидент-жеке тұлғалардың, бейрезидент-заңды тұлғалардың, бейрезиденттер бенефициарлық меншік иелері болып табылатын заңды тұлғалардың басқаруында өзге мүліктің бар-жоғы, түрі және құны туралы, оның ішінде:</w:t>
      </w:r>
    </w:p>
    <w:p w14:paraId="6841EC9C"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кастодиандық, брокерлік және (немесе) дилерлік қызметті жүзеге асыру шеңберінде бейрезидент-жеке тұлғаның, бейрезидент-заңды тұлғаның, бейрезидент бенефициарлық меншік иесі болып табылатын заңды тұлғаның ашылған шоты бойынша:</w:t>
      </w:r>
    </w:p>
    <w:p w14:paraId="441F10BC"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тиісті есепті кезең ішінде шотқа (немесе шотқа қатысты) төленген немесе есептелген әрбір жағдайда шотта сақталатын активтер бойынша алынған пайыздардың жалпы жиынтық сомасы, дивидендтердің жалпы жиынтық сомасы және өзге де кірістің жалпы жиынтық сомасы;</w:t>
      </w:r>
    </w:p>
    <w:p w14:paraId="76D1E3FF"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lastRenderedPageBreak/>
        <w:t>Қазақстан Республикасының қаржы ұйымы өздеріне қатысты бағалы қағаздардың номиналды ұстаушысы ретінде клиенттердің шоттарын жүргізу құқығына ие кастодиан, брокер және (немесе) дилер ретінде әрекет еткен күнтізбелік жыл немесе өзге де есепті кезең ішінде алынған қаржы активтерін сатудан немесе өтеуден түскен жалпы түсімдер;</w:t>
      </w:r>
    </w:p>
    <w:p w14:paraId="6D249675"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күнтізбелік жыл немесе тиісті есепті кезең ішінде төленген пайыздардың жалпы сомасы бойынша мәліметтерді жинауға арналған.</w:t>
      </w:r>
    </w:p>
    <w:p w14:paraId="2FAD0B34"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2. Егер бір және сол шот иесінде бірнеше есеп беретін шоттар болған кезде әрбір осындай шот бойынша жеке жол толтырылады.</w:t>
      </w:r>
    </w:p>
    <w:p w14:paraId="1C9397BE"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3. Бір және сол шот бойынша бірнеше иесі болса, әрбір осындай шот иесі бойынша жеке жол толтырылады.</w:t>
      </w:r>
    </w:p>
    <w:p w14:paraId="6531234C"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4. Ел кодын көрсеткен кезде Халықаралық стандарттау ұйымының ISO 3166-1 Альфа 2 стандартына сәйкес келетін код қолданылады.</w:t>
      </w:r>
    </w:p>
    <w:p w14:paraId="2923FB32"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5. Валюта кодын көрсеткен кезде Халықаралық стандарттау ұйымының ISO 4217 стандартына сәйкес келетін код қолданылады.</w:t>
      </w:r>
    </w:p>
    <w:p w14:paraId="646865CF" w14:textId="77777777" w:rsidR="00830490" w:rsidRPr="00830490" w:rsidRDefault="00830490" w:rsidP="00830490">
      <w:pPr>
        <w:spacing w:line="240" w:lineRule="auto"/>
        <w:jc w:val="center"/>
        <w:textAlignment w:val="baseline"/>
        <w:rPr>
          <w:rFonts w:ascii="Times New Roman" w:eastAsia="Times New Roman" w:hAnsi="Times New Roman" w:cs="Times New Roman"/>
          <w:b/>
          <w:bCs/>
          <w:color w:val="000000"/>
          <w:sz w:val="24"/>
          <w:szCs w:val="24"/>
          <w:lang w:eastAsia="ru-RU"/>
        </w:rPr>
      </w:pPr>
      <w:r w:rsidRPr="00830490">
        <w:rPr>
          <w:rFonts w:ascii="Times New Roman" w:eastAsia="Times New Roman" w:hAnsi="Times New Roman" w:cs="Times New Roman"/>
          <w:b/>
          <w:bCs/>
          <w:color w:val="000000"/>
          <w:sz w:val="24"/>
          <w:szCs w:val="24"/>
          <w:lang w:eastAsia="ru-RU"/>
        </w:rPr>
        <w:t>2-тарау. 019.00 нысанды толтыру тәртібі</w:t>
      </w:r>
    </w:p>
    <w:p w14:paraId="14169C54"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14. Нысанның «Жалпы ақпарат» деген бөлімінде мынадай деректер көрсетіледі:</w:t>
      </w:r>
    </w:p>
    <w:p w14:paraId="42780C18"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1) 1-жолда нысанның түрі көрсетіледі:</w:t>
      </w:r>
    </w:p>
    <w:p w14:paraId="1274DCCC"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есепті кезеңде алғаш рет жаңа деректерді ұсынған кезде «негізгі» ұяшық белгіленеді;</w:t>
      </w:r>
    </w:p>
    <w:p w14:paraId="28473D0D"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егер мәлімет уәкілетті органның бұрын ұсынылған мәліметті түзету үшін сұрау салуы бойынша берілсе, онда мәлімет түзетілген ақпаратпен бірге негізгі мәлімет ретінде ұсынылады және «түзетілген» ұяшыққа белгі қойылады (уәкілетті органның сұрау салуы ақпараттық жүйе арқылы жіберіледі);</w:t>
      </w:r>
    </w:p>
    <w:p w14:paraId="4FFDE560"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егер мәлімет бұрын ұсынылған мәліметті өзгерту үшін ұсынылса, онда мәлімет өзгертілген ақпаратпен бірге негізгі мәлімет ретінде ұсынылады және «өзгертілген» ұяшыққа белгі қойылады, бұл ретте өзгертілген нысанмен бірге «жойылған» ұяшыққа белгі қойып, бұрын ұсынылған нысанды ұсынады;</w:t>
      </w:r>
    </w:p>
    <w:p w14:paraId="5A5582EB"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Ұсыну үшін мәліметтері жоқ қаржы ұйымдары «есеп үшін шоты жоқ» ұяшығын белгілейді және «Жалпы ақпарат» бөлімі ғана толтырылады;</w:t>
      </w:r>
    </w:p>
    <w:p w14:paraId="1D8C528E"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2) нысанның 2-жолында алдыңғы есептің тіркеу нөмірі көрсетіледі (жол жойылуға жататын алдыңғы ақпаратты сәйкестендіру үшін түзетілген мәліметті беру кезінде толтырылады);</w:t>
      </w:r>
    </w:p>
    <w:p w14:paraId="2B47DB9E"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3) нысанның 3-жолында мәлімет ұсынылатын есепті кезең (жыл) көрсетіледі (араб цифрымен көрсетіледі).</w:t>
      </w:r>
    </w:p>
    <w:p w14:paraId="7EC1018E"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15. Нысанның «Қаржы ұйымы туралы ақпарат» деген бөлімінде мынадай деректер көрсетіледі:</w:t>
      </w:r>
    </w:p>
    <w:p w14:paraId="4D659787"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1) нысанның 4-жолында есепті ұсынатын қаржы ұйымының бизнес сәйкестендіру нөмірі (бұдан әрі – БСН) көрсетіледі;</w:t>
      </w:r>
    </w:p>
    <w:p w14:paraId="4D72E218"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2) нысанның 5-жолында құрылтай және өзге де құжаттарға сәйкес мәліметті ұсынатын қаржы ұйымының атауы көрсетіледі;</w:t>
      </w:r>
    </w:p>
    <w:p w14:paraId="4B589A92"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3) нысанның 6-жолында есепті ұсынатын тұлғаның санат коды көрсетіледі*;</w:t>
      </w:r>
    </w:p>
    <w:p w14:paraId="212EA370"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4) нысанның 7-жолында қаржы ұйымының орналасқан жерінің мекенжайы (пошта мекенжайы) көрсетіледі, егер есеп беретін қаржы ұйымының пошта қызметі көше мекенжайы бойынша поштаны жеткізбесе және есеп беретін қаржы ұйымының пошта индексі болса, онда көше мекенжайының орнына пошта индексінің нөмірі көрсетіледі;</w:t>
      </w:r>
    </w:p>
    <w:p w14:paraId="1540D5B5"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5) Нысанның 8-жолында делдалдың жаһандық сәйкестендіру нөмірі – АҚШ Федералды Салық Басқармасының ресми интернет-ресурсында тіркеуден өткен және мәліметтерді ұсынатын қаржы ұйымдарына берілетін сәйкестендіру нөмірі (бұдан әрі – GIIN) көрсетіледі;</w:t>
      </w:r>
    </w:p>
    <w:p w14:paraId="7353484F"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6) нысанның 9-жолында АҚШ салық төлеушісінің сәйкестендіру нөмірі (бұдан әрі – TIN) көрсетіледі;</w:t>
      </w:r>
    </w:p>
    <w:p w14:paraId="5D09EA72"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7) нысанның 10-жолында демеуші ұйымның немесе делдалдың БСН көрсетіледі;</w:t>
      </w:r>
    </w:p>
    <w:p w14:paraId="6073F90B"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8) нысанның 11-жолында демеуші ұйымның немесе делдалдың атауы көрсетіледі;</w:t>
      </w:r>
    </w:p>
    <w:p w14:paraId="5C260ED5"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lastRenderedPageBreak/>
        <w:t>9) Нысанның 12-жолында демеуші ұйымның немесе делдалдың орналасқан жерінің мекенжайы (пошта мекенжайы) көрсетіледі; егер қаржы ұйымының пошта қызметі көше мекенжайы бойынша поштаны жеткізбесе және қаржы ұйымының пошта индексі болса, онда көше мекенжайының орнына пошта индексінің нөмірі көрсетіледі;</w:t>
      </w:r>
    </w:p>
    <w:p w14:paraId="3B13FA8A"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10) нысанның 13-жолында демеуші ұйымның немесе делдалдың GIIN көрсетіледі;</w:t>
      </w:r>
    </w:p>
    <w:p w14:paraId="087F4EF6"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11) нысанның 14-жолында демеуші ұйымның немесе делдалдың TIN көрсетіледі.</w:t>
      </w:r>
    </w:p>
    <w:p w14:paraId="1704EA25"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16. Нысанның «Қаржы ұйымының жауаптылығы» деген бөлімінде мыналар көрсетіледі:</w:t>
      </w:r>
    </w:p>
    <w:p w14:paraId="32973874"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 xml:space="preserve">Нысанның «Нысанды ұсынған лауазымды адамның тегі, аты, әкесінің аты» жолында мәліметті ұсынған адамның тегі, аты, әкесінің аты (егер ол жеке басын куәландыратын құжатта </w:t>
      </w:r>
      <w:proofErr w:type="gramStart"/>
      <w:r w:rsidRPr="00830490">
        <w:rPr>
          <w:rFonts w:ascii="Times New Roman" w:eastAsia="Times New Roman" w:hAnsi="Times New Roman" w:cs="Times New Roman"/>
          <w:color w:val="000000"/>
          <w:sz w:val="24"/>
          <w:szCs w:val="24"/>
          <w:lang w:eastAsia="ru-RU"/>
        </w:rPr>
        <w:t>көрсетілсе)(</w:t>
      </w:r>
      <w:proofErr w:type="gramEnd"/>
      <w:r w:rsidRPr="00830490">
        <w:rPr>
          <w:rFonts w:ascii="Times New Roman" w:eastAsia="Times New Roman" w:hAnsi="Times New Roman" w:cs="Times New Roman"/>
          <w:color w:val="000000"/>
          <w:sz w:val="24"/>
          <w:szCs w:val="24"/>
          <w:lang w:eastAsia="ru-RU"/>
        </w:rPr>
        <w:t>бұдан әрі - Т.А.Ә.) көрсетіледі;</w:t>
      </w:r>
    </w:p>
    <w:p w14:paraId="6E5D77A7"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Нысанның «Есепті ұсыну күні» жолында уәкілетті органға мәліметті ұсыну күні көрсетіледі.</w:t>
      </w:r>
    </w:p>
    <w:p w14:paraId="12C446BE"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17. Нысанның «Шот иесі немесе төлем бенефициары туралы мәліметтер» деген бөлімінде уәкілетті органға ұсынылатын шот иесі немесе төлем бенефициары туралы мәліметті көрсету үшін толтырылады:</w:t>
      </w:r>
    </w:p>
    <w:p w14:paraId="0EDAB148"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1) нысанның А бағанында 0001 форматында жолдың реттік нөмірі көрсетіледі;</w:t>
      </w:r>
    </w:p>
    <w:p w14:paraId="76CFCADB"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2) нысанның «Шот иесі санатының коды» В бағанында мыналар көрсетіледі:</w:t>
      </w:r>
    </w:p>
    <w:p w14:paraId="1CA61A23"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заңды тұлғалар (филиалдар мен өкілдіктер) үшін – 1;</w:t>
      </w:r>
    </w:p>
    <w:p w14:paraId="2B457DD1"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жеке тұлғалар үшін («ДК» дара кәсіпкерлер) – 2.</w:t>
      </w:r>
    </w:p>
    <w:p w14:paraId="23F8913F"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3) нысанның «Шот иесінің немесе төлем бенефициарының тегі, аты, әкесінің аты/атауы» С бағанында жеке тұлғаның ТАӘ немесе заңды тұлғаның – шот иесінің немесе төлем бенефициарының атауы көрсетіледі;</w:t>
      </w:r>
    </w:p>
    <w:p w14:paraId="11E8DAF5"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4) нысанның D бағанында, егер В бағанында жеке тұлға көрсетілген болса, азаматтығы көрсетіледі;</w:t>
      </w:r>
    </w:p>
    <w:p w14:paraId="2D249DE8"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 xml:space="preserve">5) нысанның Е бағанында егер В бағанында жеке тұлға көрсетілсе және оның салық төлеушінің сәйкестендіру нөмірі болмаса «КК-АА-ЖЖЖЖ» форматында туған күні </w:t>
      </w:r>
      <w:proofErr w:type="gramStart"/>
      <w:r w:rsidRPr="00830490">
        <w:rPr>
          <w:rFonts w:ascii="Times New Roman" w:eastAsia="Times New Roman" w:hAnsi="Times New Roman" w:cs="Times New Roman"/>
          <w:color w:val="000000"/>
          <w:sz w:val="24"/>
          <w:szCs w:val="24"/>
          <w:lang w:eastAsia="ru-RU"/>
        </w:rPr>
        <w:t>көрсетіледі,;</w:t>
      </w:r>
      <w:proofErr w:type="gramEnd"/>
    </w:p>
    <w:p w14:paraId="70CA89E5"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6) нысанның F бағанында шот иесінің немесе төлем бенефициарының TIN көрсетіледі;</w:t>
      </w:r>
    </w:p>
    <w:p w14:paraId="2519145F"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7) нысанның G бағанында TIN берген елдің коды көрсетіледі;</w:t>
      </w:r>
    </w:p>
    <w:p w14:paraId="4E2F55DB"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8) нысанның H бағанында шот иесінің немесе төлем бенефициарының резидент елінің коды көрсетіледі;</w:t>
      </w:r>
    </w:p>
    <w:p w14:paraId="08FD8821"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9) Нысанның I бағанында шот иесінің немесе төлем бенефициарының заңды тұлға түрі көрсетіледі. Көрсетілген баған егер В бағанында заңды тұлға көрсетілген жағдайда толтырылады. Заңды тұлғаның түріне қарай мынадай мәндер толтырылады:</w:t>
      </w:r>
    </w:p>
    <w:p w14:paraId="015C1E1A"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FATCA101 – белгілі бір американдық иесі құжатпен растаған шетелдік қаржы институты;</w:t>
      </w:r>
    </w:p>
    <w:p w14:paraId="45FB8331"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FATCA102 – маңызды американдық иесі бар пассивті шетелдік қаржылық емес тұлға;</w:t>
      </w:r>
    </w:p>
    <w:p w14:paraId="5CE4CE09"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FATCA103 – қатыспайтын шетелдік қаржы институты;</w:t>
      </w:r>
    </w:p>
    <w:p w14:paraId="50C10F67"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FATCA104 – АҚШ-тың белгілі бір тұлғасы;</w:t>
      </w:r>
    </w:p>
    <w:p w14:paraId="1978BDFC"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FATCA105 – тікелей есеп беретін шетелдік қаржылық емес институт;</w:t>
      </w:r>
    </w:p>
    <w:p w14:paraId="481D1EAC"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10) Нысанның «Орналасқан жері мекенжайы» J жолында шот иесінің немесе төлем бенефициарының мекенжайы көрсетіледі. Мекенжай деп шот иесінің немесе төлем бенефициарының тұрғылықты тұратын жері түсініледі. Егер қаржы ұйымында мұндай мекенжай болмаса, шот иесімен немесе төлемдер бенефициарымен байланыс жасау үшін қаржы ұйымы пайдаланатын пошталық мекенжай көрсетіледі.</w:t>
      </w:r>
    </w:p>
    <w:p w14:paraId="202E9A2F"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18. Нысанның «Бенефициарлық меншік иесі немесе бақылаушы тұлға туралы мәліметтер» деген бөлімінде «Шот иесі немесе төлем бенефициары туралы мәліметтер» деген бөліміннің С бағанында көрсетілген пассивті шетелдік қаржылық емес ұйымының иелері туралы мәліметтерді беру үшін толтырылады:</w:t>
      </w:r>
    </w:p>
    <w:p w14:paraId="36DDAD8E"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lastRenderedPageBreak/>
        <w:t>1) нысанның «Бенефициарлық меншік иесінің немесе бақылаушы тұлғаның тегі, аты, әкесінің аты/атауы» K бағанында шот иесі жеке тұлғаның Т.А.Ә. немесе заңды тұлғаның атауы көрсетіледі;</w:t>
      </w:r>
    </w:p>
    <w:p w14:paraId="7157E811"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2) нысанның L бағанында егер K бағанында жеке тұлға көрсетілсе, «Ел резиденттігі коды» кодтауға сәйкес азаматтығы көрсетіледі;</w:t>
      </w:r>
    </w:p>
    <w:p w14:paraId="546EB8F4"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3) нысанның М бағанында егер нысанның К бағанында жеке тұлға көрсетілсе және оның салық төлеушінің сәйкестендіру нөмірі болмаса «КК-АА-ЖЖЖЖ» форматында туған күні көрсетіледі;</w:t>
      </w:r>
    </w:p>
    <w:p w14:paraId="36BA4E52"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4) нысанның N бағанында бенефициарлық меншік иесінің немесе бақылаушы тұлғаның TIN көрсетіледі;</w:t>
      </w:r>
    </w:p>
    <w:p w14:paraId="245B65ED"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5) нысанның О бағанында TIN берген елдің коды көрсетіледі;</w:t>
      </w:r>
    </w:p>
    <w:p w14:paraId="6161E92C"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6) нысанның P бағанында бенефициарлық меншік иесінің немесе бақылаушы тұлғаның резидент елінің коды көрсетіледі;</w:t>
      </w:r>
    </w:p>
    <w:p w14:paraId="043B200B"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7) нысанның «Орналасқан жерінің мекенжайы» Q бағанында бенефициарлық меншік иесінің немесе бақылаушы тұлғаның мекенжайы көрсетіледі. Мекенжай деп шот иесінің тұрғылықты тұратын жері түсініледі. Егер қаржы ұйымында мұндай мекенжай болмаса, қаржы ұйымы шот иесімен байланыс жасау үшін пайдаланатын пошталық мекенжайы көрсетіледі.</w:t>
      </w:r>
    </w:p>
    <w:p w14:paraId="6B48FE6A"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19. Нысанның «Қаржылық ақпарат» деген бөлімінде есеп беретін шотқа қатысты қаржылық ақпаратты көрсету үшін толтырылады:</w:t>
      </w:r>
    </w:p>
    <w:p w14:paraId="6A552017"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1) Нысанның R бағанында шот нөмірі көрсетіледі (мәліметтерді беру мақсатында қаржылық ақпаратты сәйкестендіруге мүмкіндік беретін, жеке сәйкестендіру коды немесе өзге сәйкестендіру нөмірі шот нөмірі болып табылады. кастодиандық шоттың немесе депозитарлық шоттың нөмірі, борышқа немесе қатысу үлесіне жататын коды (егер кастодиандық шотта сақталмаса) немесе сатып алу құнымен сақтандыру шартының немесе аннуитет шартының сәйкестендіру коды шоттың нөмірі болып табылады. Егер қаржы ұйымының нөмірлеу жүйесі болмаса, онда NANUM (not applicable – нөмірінің болмауы) көрсетіледі);</w:t>
      </w:r>
    </w:p>
    <w:p w14:paraId="5EBD0EA9"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2) нысанның S бағанында валюта коды көрсетіледі;</w:t>
      </w:r>
    </w:p>
    <w:p w14:paraId="15E85059"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3) Нысанның «Бір жыл ішінде жабылған шот» T бағанында егер «Қаржылық ақпарат» бөлімінде көрсетілген шот күнтізбелік жыл ішінде жабылған немесе толық аударылған жағдайда белгі қойылады. Егер шот иесі сол күнтізбелік жыл ішінде сол қаржы мекемесінде шотты бір түрден екіншісіне қайта ресімдесе, шот жабылған деп көрсетілмейді;</w:t>
      </w:r>
    </w:p>
    <w:p w14:paraId="0C5F2FD7"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4) нысанның U бағанында төлем коды** көрсетіледі;</w:t>
      </w:r>
    </w:p>
    <w:p w14:paraId="3ABB05DA"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5) Нысанның «Баланс» V бағанында күнтізбелік жылдың немесе өзге де тиісті есепті кезеңнің соңындағы, ал егер шот осындай кезеңде жабылған болса, жабу кезіндегі шоттың балансы немесе құны көрсетіледі;</w:t>
      </w:r>
    </w:p>
    <w:p w14:paraId="33DC3F42"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6) нысанның «Дивидендтер» W бағанында күнтізбелік жыл үшін мәлімет ұсынылуы тиіс шоттағы ақшаға төленген немесе есептелген дивидендтердің жалпы жиынтық сомасы көрсетіледі;</w:t>
      </w:r>
    </w:p>
    <w:p w14:paraId="23739042"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7) нысанның «Пайыздар» Х бағанында күнтізбелік жыл үшін мәліметтер ұсынылуы тиіс шоттағы ақшаға төленген немесе есептелген сыйақының (пайыздың) жалпы жиынтық сомасы көрсетіледі;</w:t>
      </w:r>
    </w:p>
    <w:p w14:paraId="2372002E"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8) Нысанның «Жалпы кіріс» Y бағанында күнтізбелік жыл үшін мәліметтер ұсынылуы тиіс шоттағы ақшаға төленген немесе есептелген мүлікті сатудан немесе өтеуден түскен жалпы жиынтық кіріс көрсетіледі;</w:t>
      </w:r>
    </w:p>
    <w:p w14:paraId="677DB422"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9) нысанның «Басқа» Z бағанында алдыңғы X, W, Y бағандарында көрсетілген пайыздарды, дивидендтерді және жиынтық жалпы кірісті шегере отырып, күнтізбелік жыл ішінде шоттағы ақша бойынша шотқа төленген немесе есептелген барлық кірістердің жалпы жиынтық сомасы көрсетіледі;</w:t>
      </w:r>
    </w:p>
    <w:p w14:paraId="5C746ADF"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lastRenderedPageBreak/>
        <w:t>10) нысанның W, X, Y, Z бағандарын толтыру кезінде бір немесе одан көп кіріс түрлері көрсетіледі.</w:t>
      </w:r>
    </w:p>
    <w:p w14:paraId="7934C3C7"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Ескертпе:</w:t>
      </w:r>
    </w:p>
    <w:p w14:paraId="7847902B"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*FATCA 601 - АҚШ тұлғасы болып саналмайтын қаржы институтының қатысушысы америкалық филиалын қоса алғанда, қаржы мекемесіне қатысушы;</w:t>
      </w:r>
    </w:p>
    <w:p w14:paraId="6C72AA98"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FATCA 602 - Келісімнің талаптарын сақтайтын деп танылған тіркелген қаржы мекемесі;</w:t>
      </w:r>
    </w:p>
    <w:p w14:paraId="0607757E"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FATCA 605 - білікті делдал; салық ұстайтын серіктестік; салық ұстайтын траст;</w:t>
      </w:r>
    </w:p>
    <w:p w14:paraId="67332861"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FATCA 607 - қаржы мекемесіне демеушілік ететін демеуші тұлға;</w:t>
      </w:r>
    </w:p>
    <w:p w14:paraId="30A107A0"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FATCA 609 - сенімгерлік басқарушыға ресімделген трасттың сенімгерлік басқарушысы;</w:t>
      </w:r>
    </w:p>
    <w:p w14:paraId="2CAE5EAA"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FATCA 610 - салық ұстайтын агент.</w:t>
      </w:r>
    </w:p>
    <w:p w14:paraId="38727BEC"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 FATCA101 – белгілі бір американдық иесі құжатпен растаған шетелдік қаржы институты;</w:t>
      </w:r>
    </w:p>
    <w:p w14:paraId="1B08D03F"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FATCA102 – маңызды американдық иесі бар пассивті шетелдік қаржылық емес тұлға;</w:t>
      </w:r>
    </w:p>
    <w:p w14:paraId="3C29CD9D"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FATCA103 – қатыспайтын шетелдік қаржы институты;</w:t>
      </w:r>
    </w:p>
    <w:p w14:paraId="2AC1D9E0"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FATCA104 – АҚШ-тың белгілі бір тұлғасы;</w:t>
      </w:r>
    </w:p>
    <w:p w14:paraId="69D0380B" w14:textId="77777777" w:rsidR="00830490" w:rsidRPr="00830490" w:rsidRDefault="00830490" w:rsidP="00830490">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30490">
        <w:rPr>
          <w:rFonts w:ascii="Times New Roman" w:eastAsia="Times New Roman" w:hAnsi="Times New Roman" w:cs="Times New Roman"/>
          <w:color w:val="000000"/>
          <w:sz w:val="24"/>
          <w:szCs w:val="24"/>
          <w:lang w:eastAsia="ru-RU"/>
        </w:rPr>
        <w:t>FATCA105 – тікелей есеп беретін шетелдік қаржылық емес институт.</w:t>
      </w:r>
    </w:p>
    <w:p w14:paraId="208E6DC7" w14:textId="77777777" w:rsidR="00094D2A" w:rsidRPr="00830490" w:rsidRDefault="00094D2A" w:rsidP="00830490">
      <w:pPr>
        <w:jc w:val="both"/>
        <w:rPr>
          <w:sz w:val="24"/>
          <w:szCs w:val="24"/>
        </w:rPr>
      </w:pPr>
    </w:p>
    <w:sectPr w:rsidR="00094D2A" w:rsidRPr="008304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683"/>
    <w:rsid w:val="00094D2A"/>
    <w:rsid w:val="00165683"/>
    <w:rsid w:val="00830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8B2181-091B-4565-BC7E-0CA83A322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8870304">
      <w:bodyDiv w:val="1"/>
      <w:marLeft w:val="0"/>
      <w:marRight w:val="0"/>
      <w:marTop w:val="0"/>
      <w:marBottom w:val="0"/>
      <w:divBdr>
        <w:top w:val="none" w:sz="0" w:space="0" w:color="auto"/>
        <w:left w:val="none" w:sz="0" w:space="0" w:color="auto"/>
        <w:bottom w:val="none" w:sz="0" w:space="0" w:color="auto"/>
        <w:right w:val="none" w:sz="0" w:space="0" w:color="auto"/>
      </w:divBdr>
      <w:divsChild>
        <w:div w:id="1101533515">
          <w:marLeft w:val="0"/>
          <w:marRight w:val="0"/>
          <w:marTop w:val="0"/>
          <w:marBottom w:val="0"/>
          <w:divBdr>
            <w:top w:val="none" w:sz="0" w:space="0" w:color="auto"/>
            <w:left w:val="none" w:sz="0" w:space="0" w:color="auto"/>
            <w:bottom w:val="none" w:sz="0" w:space="0" w:color="auto"/>
            <w:right w:val="none" w:sz="0" w:space="0" w:color="auto"/>
          </w:divBdr>
        </w:div>
        <w:div w:id="1711371898">
          <w:marLeft w:val="0"/>
          <w:marRight w:val="0"/>
          <w:marTop w:val="0"/>
          <w:marBottom w:val="0"/>
          <w:divBdr>
            <w:top w:val="none" w:sz="0" w:space="0" w:color="auto"/>
            <w:left w:val="none" w:sz="0" w:space="0" w:color="auto"/>
            <w:bottom w:val="none" w:sz="0" w:space="0" w:color="auto"/>
            <w:right w:val="none" w:sz="0" w:space="0" w:color="auto"/>
          </w:divBdr>
        </w:div>
        <w:div w:id="1372723719">
          <w:marLeft w:val="0"/>
          <w:marRight w:val="0"/>
          <w:marTop w:val="0"/>
          <w:marBottom w:val="0"/>
          <w:divBdr>
            <w:top w:val="none" w:sz="0" w:space="0" w:color="auto"/>
            <w:left w:val="none" w:sz="0" w:space="0" w:color="auto"/>
            <w:bottom w:val="none" w:sz="0" w:space="0" w:color="auto"/>
            <w:right w:val="none" w:sz="0" w:space="0" w:color="auto"/>
          </w:divBdr>
        </w:div>
        <w:div w:id="214392377">
          <w:marLeft w:val="0"/>
          <w:marRight w:val="0"/>
          <w:marTop w:val="0"/>
          <w:marBottom w:val="0"/>
          <w:divBdr>
            <w:top w:val="none" w:sz="0" w:space="0" w:color="auto"/>
            <w:left w:val="none" w:sz="0" w:space="0" w:color="auto"/>
            <w:bottom w:val="none" w:sz="0" w:space="0" w:color="auto"/>
            <w:right w:val="none" w:sz="0" w:space="0" w:color="auto"/>
          </w:divBdr>
        </w:div>
        <w:div w:id="1135292458">
          <w:marLeft w:val="0"/>
          <w:marRight w:val="0"/>
          <w:marTop w:val="0"/>
          <w:marBottom w:val="0"/>
          <w:divBdr>
            <w:top w:val="none" w:sz="0" w:space="0" w:color="auto"/>
            <w:left w:val="none" w:sz="0" w:space="0" w:color="auto"/>
            <w:bottom w:val="none" w:sz="0" w:space="0" w:color="auto"/>
            <w:right w:val="none" w:sz="0" w:space="0" w:color="auto"/>
          </w:divBdr>
        </w:div>
        <w:div w:id="1238708506">
          <w:marLeft w:val="0"/>
          <w:marRight w:val="0"/>
          <w:marTop w:val="0"/>
          <w:marBottom w:val="0"/>
          <w:divBdr>
            <w:top w:val="none" w:sz="0" w:space="0" w:color="auto"/>
            <w:left w:val="none" w:sz="0" w:space="0" w:color="auto"/>
            <w:bottom w:val="none" w:sz="0" w:space="0" w:color="auto"/>
            <w:right w:val="none" w:sz="0" w:space="0" w:color="auto"/>
          </w:divBdr>
        </w:div>
        <w:div w:id="1539510726">
          <w:marLeft w:val="0"/>
          <w:marRight w:val="0"/>
          <w:marTop w:val="0"/>
          <w:marBottom w:val="0"/>
          <w:divBdr>
            <w:top w:val="none" w:sz="0" w:space="0" w:color="auto"/>
            <w:left w:val="none" w:sz="0" w:space="0" w:color="auto"/>
            <w:bottom w:val="none" w:sz="0" w:space="0" w:color="auto"/>
            <w:right w:val="none" w:sz="0" w:space="0" w:color="auto"/>
          </w:divBdr>
        </w:div>
        <w:div w:id="1652101306">
          <w:marLeft w:val="0"/>
          <w:marRight w:val="0"/>
          <w:marTop w:val="0"/>
          <w:marBottom w:val="0"/>
          <w:divBdr>
            <w:top w:val="none" w:sz="0" w:space="0" w:color="auto"/>
            <w:left w:val="none" w:sz="0" w:space="0" w:color="auto"/>
            <w:bottom w:val="none" w:sz="0" w:space="0" w:color="auto"/>
            <w:right w:val="none" w:sz="0" w:space="0" w:color="auto"/>
          </w:divBdr>
        </w:div>
        <w:div w:id="1285387861">
          <w:marLeft w:val="0"/>
          <w:marRight w:val="0"/>
          <w:marTop w:val="0"/>
          <w:marBottom w:val="0"/>
          <w:divBdr>
            <w:top w:val="none" w:sz="0" w:space="0" w:color="auto"/>
            <w:left w:val="none" w:sz="0" w:space="0" w:color="auto"/>
            <w:bottom w:val="none" w:sz="0" w:space="0" w:color="auto"/>
            <w:right w:val="none" w:sz="0" w:space="0" w:color="auto"/>
          </w:divBdr>
        </w:div>
        <w:div w:id="1355032806">
          <w:marLeft w:val="0"/>
          <w:marRight w:val="0"/>
          <w:marTop w:val="0"/>
          <w:marBottom w:val="0"/>
          <w:divBdr>
            <w:top w:val="none" w:sz="0" w:space="0" w:color="auto"/>
            <w:left w:val="none" w:sz="0" w:space="0" w:color="auto"/>
            <w:bottom w:val="none" w:sz="0" w:space="0" w:color="auto"/>
            <w:right w:val="none" w:sz="0" w:space="0" w:color="auto"/>
          </w:divBdr>
        </w:div>
        <w:div w:id="621309284">
          <w:marLeft w:val="0"/>
          <w:marRight w:val="0"/>
          <w:marTop w:val="0"/>
          <w:marBottom w:val="0"/>
          <w:divBdr>
            <w:top w:val="none" w:sz="0" w:space="0" w:color="auto"/>
            <w:left w:val="none" w:sz="0" w:space="0" w:color="auto"/>
            <w:bottom w:val="none" w:sz="0" w:space="0" w:color="auto"/>
            <w:right w:val="none" w:sz="0" w:space="0" w:color="auto"/>
          </w:divBdr>
        </w:div>
        <w:div w:id="790592044">
          <w:marLeft w:val="0"/>
          <w:marRight w:val="0"/>
          <w:marTop w:val="0"/>
          <w:marBottom w:val="0"/>
          <w:divBdr>
            <w:top w:val="none" w:sz="0" w:space="0" w:color="auto"/>
            <w:left w:val="none" w:sz="0" w:space="0" w:color="auto"/>
            <w:bottom w:val="none" w:sz="0" w:space="0" w:color="auto"/>
            <w:right w:val="none" w:sz="0" w:space="0" w:color="auto"/>
          </w:divBdr>
        </w:div>
        <w:div w:id="412701955">
          <w:marLeft w:val="0"/>
          <w:marRight w:val="0"/>
          <w:marTop w:val="0"/>
          <w:marBottom w:val="0"/>
          <w:divBdr>
            <w:top w:val="none" w:sz="0" w:space="0" w:color="auto"/>
            <w:left w:val="none" w:sz="0" w:space="0" w:color="auto"/>
            <w:bottom w:val="none" w:sz="0" w:space="0" w:color="auto"/>
            <w:right w:val="none" w:sz="0" w:space="0" w:color="auto"/>
          </w:divBdr>
        </w:div>
        <w:div w:id="62725724">
          <w:marLeft w:val="0"/>
          <w:marRight w:val="0"/>
          <w:marTop w:val="0"/>
          <w:marBottom w:val="0"/>
          <w:divBdr>
            <w:top w:val="none" w:sz="0" w:space="0" w:color="auto"/>
            <w:left w:val="none" w:sz="0" w:space="0" w:color="auto"/>
            <w:bottom w:val="none" w:sz="0" w:space="0" w:color="auto"/>
            <w:right w:val="none" w:sz="0" w:space="0" w:color="auto"/>
          </w:divBdr>
        </w:div>
        <w:div w:id="870147711">
          <w:marLeft w:val="0"/>
          <w:marRight w:val="0"/>
          <w:marTop w:val="0"/>
          <w:marBottom w:val="0"/>
          <w:divBdr>
            <w:top w:val="none" w:sz="0" w:space="0" w:color="auto"/>
            <w:left w:val="none" w:sz="0" w:space="0" w:color="auto"/>
            <w:bottom w:val="none" w:sz="0" w:space="0" w:color="auto"/>
            <w:right w:val="none" w:sz="0" w:space="0" w:color="auto"/>
          </w:divBdr>
        </w:div>
        <w:div w:id="717048020">
          <w:marLeft w:val="0"/>
          <w:marRight w:val="0"/>
          <w:marTop w:val="0"/>
          <w:marBottom w:val="0"/>
          <w:divBdr>
            <w:top w:val="none" w:sz="0" w:space="0" w:color="auto"/>
            <w:left w:val="none" w:sz="0" w:space="0" w:color="auto"/>
            <w:bottom w:val="none" w:sz="0" w:space="0" w:color="auto"/>
            <w:right w:val="none" w:sz="0" w:space="0" w:color="auto"/>
          </w:divBdr>
        </w:div>
        <w:div w:id="2106461262">
          <w:marLeft w:val="0"/>
          <w:marRight w:val="0"/>
          <w:marTop w:val="0"/>
          <w:marBottom w:val="0"/>
          <w:divBdr>
            <w:top w:val="none" w:sz="0" w:space="0" w:color="auto"/>
            <w:left w:val="none" w:sz="0" w:space="0" w:color="auto"/>
            <w:bottom w:val="none" w:sz="0" w:space="0" w:color="auto"/>
            <w:right w:val="none" w:sz="0" w:space="0" w:color="auto"/>
          </w:divBdr>
        </w:div>
        <w:div w:id="488210147">
          <w:marLeft w:val="0"/>
          <w:marRight w:val="0"/>
          <w:marTop w:val="0"/>
          <w:marBottom w:val="0"/>
          <w:divBdr>
            <w:top w:val="none" w:sz="0" w:space="0" w:color="auto"/>
            <w:left w:val="none" w:sz="0" w:space="0" w:color="auto"/>
            <w:bottom w:val="none" w:sz="0" w:space="0" w:color="auto"/>
            <w:right w:val="none" w:sz="0" w:space="0" w:color="auto"/>
          </w:divBdr>
        </w:div>
        <w:div w:id="2112243245">
          <w:marLeft w:val="0"/>
          <w:marRight w:val="0"/>
          <w:marTop w:val="0"/>
          <w:marBottom w:val="0"/>
          <w:divBdr>
            <w:top w:val="none" w:sz="0" w:space="0" w:color="auto"/>
            <w:left w:val="none" w:sz="0" w:space="0" w:color="auto"/>
            <w:bottom w:val="none" w:sz="0" w:space="0" w:color="auto"/>
            <w:right w:val="none" w:sz="0" w:space="0" w:color="auto"/>
          </w:divBdr>
        </w:div>
        <w:div w:id="1420132348">
          <w:marLeft w:val="0"/>
          <w:marRight w:val="0"/>
          <w:marTop w:val="0"/>
          <w:marBottom w:val="0"/>
          <w:divBdr>
            <w:top w:val="none" w:sz="0" w:space="0" w:color="auto"/>
            <w:left w:val="none" w:sz="0" w:space="0" w:color="auto"/>
            <w:bottom w:val="none" w:sz="0" w:space="0" w:color="auto"/>
            <w:right w:val="none" w:sz="0" w:space="0" w:color="auto"/>
          </w:divBdr>
        </w:div>
        <w:div w:id="514883440">
          <w:marLeft w:val="0"/>
          <w:marRight w:val="0"/>
          <w:marTop w:val="0"/>
          <w:marBottom w:val="0"/>
          <w:divBdr>
            <w:top w:val="none" w:sz="0" w:space="0" w:color="auto"/>
            <w:left w:val="none" w:sz="0" w:space="0" w:color="auto"/>
            <w:bottom w:val="none" w:sz="0" w:space="0" w:color="auto"/>
            <w:right w:val="none" w:sz="0" w:space="0" w:color="auto"/>
          </w:divBdr>
        </w:div>
        <w:div w:id="277807309">
          <w:marLeft w:val="0"/>
          <w:marRight w:val="0"/>
          <w:marTop w:val="0"/>
          <w:marBottom w:val="0"/>
          <w:divBdr>
            <w:top w:val="none" w:sz="0" w:space="0" w:color="auto"/>
            <w:left w:val="none" w:sz="0" w:space="0" w:color="auto"/>
            <w:bottom w:val="none" w:sz="0" w:space="0" w:color="auto"/>
            <w:right w:val="none" w:sz="0" w:space="0" w:color="auto"/>
          </w:divBdr>
        </w:div>
        <w:div w:id="947932707">
          <w:marLeft w:val="0"/>
          <w:marRight w:val="0"/>
          <w:marTop w:val="0"/>
          <w:marBottom w:val="0"/>
          <w:divBdr>
            <w:top w:val="none" w:sz="0" w:space="0" w:color="auto"/>
            <w:left w:val="none" w:sz="0" w:space="0" w:color="auto"/>
            <w:bottom w:val="none" w:sz="0" w:space="0" w:color="auto"/>
            <w:right w:val="none" w:sz="0" w:space="0" w:color="auto"/>
          </w:divBdr>
        </w:div>
        <w:div w:id="909120767">
          <w:marLeft w:val="0"/>
          <w:marRight w:val="0"/>
          <w:marTop w:val="0"/>
          <w:marBottom w:val="240"/>
          <w:divBdr>
            <w:top w:val="none" w:sz="0" w:space="0" w:color="auto"/>
            <w:left w:val="none" w:sz="0" w:space="0" w:color="auto"/>
            <w:bottom w:val="none" w:sz="0" w:space="0" w:color="auto"/>
            <w:right w:val="none" w:sz="0" w:space="0" w:color="auto"/>
          </w:divBdr>
        </w:div>
        <w:div w:id="308560430">
          <w:marLeft w:val="0"/>
          <w:marRight w:val="0"/>
          <w:marTop w:val="0"/>
          <w:marBottom w:val="240"/>
          <w:divBdr>
            <w:top w:val="none" w:sz="0" w:space="0" w:color="auto"/>
            <w:left w:val="none" w:sz="0" w:space="0" w:color="auto"/>
            <w:bottom w:val="none" w:sz="0" w:space="0" w:color="auto"/>
            <w:right w:val="none" w:sz="0" w:space="0" w:color="auto"/>
          </w:divBdr>
        </w:div>
        <w:div w:id="138041040">
          <w:marLeft w:val="0"/>
          <w:marRight w:val="0"/>
          <w:marTop w:val="480"/>
          <w:marBottom w:val="240"/>
          <w:divBdr>
            <w:top w:val="none" w:sz="0" w:space="0" w:color="auto"/>
            <w:left w:val="none" w:sz="0" w:space="0" w:color="auto"/>
            <w:bottom w:val="none" w:sz="0" w:space="0" w:color="auto"/>
            <w:right w:val="none" w:sz="0" w:space="0" w:color="auto"/>
          </w:divBdr>
        </w:div>
        <w:div w:id="1395617177">
          <w:marLeft w:val="0"/>
          <w:marRight w:val="0"/>
          <w:marTop w:val="0"/>
          <w:marBottom w:val="0"/>
          <w:divBdr>
            <w:top w:val="none" w:sz="0" w:space="0" w:color="auto"/>
            <w:left w:val="none" w:sz="0" w:space="0" w:color="auto"/>
            <w:bottom w:val="none" w:sz="0" w:space="0" w:color="auto"/>
            <w:right w:val="none" w:sz="0" w:space="0" w:color="auto"/>
          </w:divBdr>
          <w:divsChild>
            <w:div w:id="39742500">
              <w:marLeft w:val="0"/>
              <w:marRight w:val="0"/>
              <w:marTop w:val="0"/>
              <w:marBottom w:val="0"/>
              <w:divBdr>
                <w:top w:val="none" w:sz="0" w:space="0" w:color="auto"/>
                <w:left w:val="none" w:sz="0" w:space="0" w:color="auto"/>
                <w:bottom w:val="none" w:sz="0" w:space="0" w:color="auto"/>
                <w:right w:val="none" w:sz="0" w:space="0" w:color="auto"/>
              </w:divBdr>
            </w:div>
            <w:div w:id="767963897">
              <w:marLeft w:val="0"/>
              <w:marRight w:val="0"/>
              <w:marTop w:val="0"/>
              <w:marBottom w:val="0"/>
              <w:divBdr>
                <w:top w:val="none" w:sz="0" w:space="0" w:color="auto"/>
                <w:left w:val="none" w:sz="0" w:space="0" w:color="auto"/>
                <w:bottom w:val="none" w:sz="0" w:space="0" w:color="auto"/>
                <w:right w:val="none" w:sz="0" w:space="0" w:color="auto"/>
              </w:divBdr>
              <w:divsChild>
                <w:div w:id="1020206056">
                  <w:marLeft w:val="0"/>
                  <w:marRight w:val="0"/>
                  <w:marTop w:val="0"/>
                  <w:marBottom w:val="0"/>
                  <w:divBdr>
                    <w:top w:val="none" w:sz="0" w:space="0" w:color="auto"/>
                    <w:left w:val="none" w:sz="0" w:space="0" w:color="auto"/>
                    <w:bottom w:val="none" w:sz="0" w:space="0" w:color="auto"/>
                    <w:right w:val="none" w:sz="0" w:space="0" w:color="auto"/>
                  </w:divBdr>
                </w:div>
              </w:divsChild>
            </w:div>
            <w:div w:id="1512334140">
              <w:marLeft w:val="0"/>
              <w:marRight w:val="0"/>
              <w:marTop w:val="0"/>
              <w:marBottom w:val="0"/>
              <w:divBdr>
                <w:top w:val="none" w:sz="0" w:space="0" w:color="auto"/>
                <w:left w:val="none" w:sz="0" w:space="0" w:color="auto"/>
                <w:bottom w:val="none" w:sz="0" w:space="0" w:color="auto"/>
                <w:right w:val="none" w:sz="0" w:space="0" w:color="auto"/>
              </w:divBdr>
              <w:divsChild>
                <w:div w:id="489954822">
                  <w:marLeft w:val="0"/>
                  <w:marRight w:val="0"/>
                  <w:marTop w:val="0"/>
                  <w:marBottom w:val="0"/>
                  <w:divBdr>
                    <w:top w:val="none" w:sz="0" w:space="0" w:color="auto"/>
                    <w:left w:val="none" w:sz="0" w:space="0" w:color="auto"/>
                    <w:bottom w:val="none" w:sz="0" w:space="0" w:color="auto"/>
                    <w:right w:val="none" w:sz="0" w:space="0" w:color="auto"/>
                  </w:divBdr>
                </w:div>
              </w:divsChild>
            </w:div>
            <w:div w:id="104350201">
              <w:marLeft w:val="0"/>
              <w:marRight w:val="0"/>
              <w:marTop w:val="0"/>
              <w:marBottom w:val="0"/>
              <w:divBdr>
                <w:top w:val="none" w:sz="0" w:space="0" w:color="auto"/>
                <w:left w:val="none" w:sz="0" w:space="0" w:color="auto"/>
                <w:bottom w:val="none" w:sz="0" w:space="0" w:color="auto"/>
                <w:right w:val="none" w:sz="0" w:space="0" w:color="auto"/>
              </w:divBdr>
              <w:divsChild>
                <w:div w:id="483935197">
                  <w:marLeft w:val="0"/>
                  <w:marRight w:val="0"/>
                  <w:marTop w:val="0"/>
                  <w:marBottom w:val="0"/>
                  <w:divBdr>
                    <w:top w:val="none" w:sz="0" w:space="0" w:color="auto"/>
                    <w:left w:val="none" w:sz="0" w:space="0" w:color="auto"/>
                    <w:bottom w:val="none" w:sz="0" w:space="0" w:color="auto"/>
                    <w:right w:val="none" w:sz="0" w:space="0" w:color="auto"/>
                  </w:divBdr>
                </w:div>
              </w:divsChild>
            </w:div>
            <w:div w:id="181557761">
              <w:marLeft w:val="0"/>
              <w:marRight w:val="0"/>
              <w:marTop w:val="0"/>
              <w:marBottom w:val="0"/>
              <w:divBdr>
                <w:top w:val="none" w:sz="0" w:space="0" w:color="auto"/>
                <w:left w:val="none" w:sz="0" w:space="0" w:color="auto"/>
                <w:bottom w:val="none" w:sz="0" w:space="0" w:color="auto"/>
                <w:right w:val="none" w:sz="0" w:space="0" w:color="auto"/>
              </w:divBdr>
              <w:divsChild>
                <w:div w:id="2058431138">
                  <w:marLeft w:val="0"/>
                  <w:marRight w:val="0"/>
                  <w:marTop w:val="0"/>
                  <w:marBottom w:val="0"/>
                  <w:divBdr>
                    <w:top w:val="none" w:sz="0" w:space="0" w:color="auto"/>
                    <w:left w:val="none" w:sz="0" w:space="0" w:color="auto"/>
                    <w:bottom w:val="none" w:sz="0" w:space="0" w:color="auto"/>
                    <w:right w:val="none" w:sz="0" w:space="0" w:color="auto"/>
                  </w:divBdr>
                </w:div>
              </w:divsChild>
            </w:div>
            <w:div w:id="151992860">
              <w:marLeft w:val="0"/>
              <w:marRight w:val="0"/>
              <w:marTop w:val="0"/>
              <w:marBottom w:val="0"/>
              <w:divBdr>
                <w:top w:val="none" w:sz="0" w:space="0" w:color="auto"/>
                <w:left w:val="none" w:sz="0" w:space="0" w:color="auto"/>
                <w:bottom w:val="none" w:sz="0" w:space="0" w:color="auto"/>
                <w:right w:val="none" w:sz="0" w:space="0" w:color="auto"/>
              </w:divBdr>
              <w:divsChild>
                <w:div w:id="161556653">
                  <w:marLeft w:val="0"/>
                  <w:marRight w:val="0"/>
                  <w:marTop w:val="0"/>
                  <w:marBottom w:val="0"/>
                  <w:divBdr>
                    <w:top w:val="none" w:sz="0" w:space="0" w:color="auto"/>
                    <w:left w:val="none" w:sz="0" w:space="0" w:color="auto"/>
                    <w:bottom w:val="none" w:sz="0" w:space="0" w:color="auto"/>
                    <w:right w:val="none" w:sz="0" w:space="0" w:color="auto"/>
                  </w:divBdr>
                </w:div>
              </w:divsChild>
            </w:div>
            <w:div w:id="1861579657">
              <w:marLeft w:val="0"/>
              <w:marRight w:val="0"/>
              <w:marTop w:val="0"/>
              <w:marBottom w:val="0"/>
              <w:divBdr>
                <w:top w:val="none" w:sz="0" w:space="0" w:color="auto"/>
                <w:left w:val="none" w:sz="0" w:space="0" w:color="auto"/>
                <w:bottom w:val="none" w:sz="0" w:space="0" w:color="auto"/>
                <w:right w:val="none" w:sz="0" w:space="0" w:color="auto"/>
              </w:divBdr>
              <w:divsChild>
                <w:div w:id="1683431442">
                  <w:marLeft w:val="0"/>
                  <w:marRight w:val="0"/>
                  <w:marTop w:val="0"/>
                  <w:marBottom w:val="0"/>
                  <w:divBdr>
                    <w:top w:val="none" w:sz="0" w:space="0" w:color="auto"/>
                    <w:left w:val="none" w:sz="0" w:space="0" w:color="auto"/>
                    <w:bottom w:val="none" w:sz="0" w:space="0" w:color="auto"/>
                    <w:right w:val="none" w:sz="0" w:space="0" w:color="auto"/>
                  </w:divBdr>
                </w:div>
              </w:divsChild>
            </w:div>
            <w:div w:id="1881357495">
              <w:marLeft w:val="0"/>
              <w:marRight w:val="0"/>
              <w:marTop w:val="0"/>
              <w:marBottom w:val="0"/>
              <w:divBdr>
                <w:top w:val="none" w:sz="0" w:space="0" w:color="auto"/>
                <w:left w:val="none" w:sz="0" w:space="0" w:color="auto"/>
                <w:bottom w:val="none" w:sz="0" w:space="0" w:color="auto"/>
                <w:right w:val="none" w:sz="0" w:space="0" w:color="auto"/>
              </w:divBdr>
              <w:divsChild>
                <w:div w:id="2134590549">
                  <w:marLeft w:val="0"/>
                  <w:marRight w:val="0"/>
                  <w:marTop w:val="0"/>
                  <w:marBottom w:val="0"/>
                  <w:divBdr>
                    <w:top w:val="none" w:sz="0" w:space="0" w:color="auto"/>
                    <w:left w:val="none" w:sz="0" w:space="0" w:color="auto"/>
                    <w:bottom w:val="none" w:sz="0" w:space="0" w:color="auto"/>
                    <w:right w:val="none" w:sz="0" w:space="0" w:color="auto"/>
                  </w:divBdr>
                </w:div>
                <w:div w:id="87652555">
                  <w:marLeft w:val="0"/>
                  <w:marRight w:val="0"/>
                  <w:marTop w:val="0"/>
                  <w:marBottom w:val="0"/>
                  <w:divBdr>
                    <w:top w:val="none" w:sz="0" w:space="0" w:color="auto"/>
                    <w:left w:val="none" w:sz="0" w:space="0" w:color="auto"/>
                    <w:bottom w:val="none" w:sz="0" w:space="0" w:color="auto"/>
                    <w:right w:val="none" w:sz="0" w:space="0" w:color="auto"/>
                  </w:divBdr>
                </w:div>
                <w:div w:id="873999446">
                  <w:marLeft w:val="0"/>
                  <w:marRight w:val="0"/>
                  <w:marTop w:val="0"/>
                  <w:marBottom w:val="0"/>
                  <w:divBdr>
                    <w:top w:val="none" w:sz="0" w:space="0" w:color="auto"/>
                    <w:left w:val="none" w:sz="0" w:space="0" w:color="auto"/>
                    <w:bottom w:val="none" w:sz="0" w:space="0" w:color="auto"/>
                    <w:right w:val="none" w:sz="0" w:space="0" w:color="auto"/>
                  </w:divBdr>
                </w:div>
                <w:div w:id="1930309092">
                  <w:marLeft w:val="0"/>
                  <w:marRight w:val="0"/>
                  <w:marTop w:val="0"/>
                  <w:marBottom w:val="0"/>
                  <w:divBdr>
                    <w:top w:val="none" w:sz="0" w:space="0" w:color="auto"/>
                    <w:left w:val="none" w:sz="0" w:space="0" w:color="auto"/>
                    <w:bottom w:val="none" w:sz="0" w:space="0" w:color="auto"/>
                    <w:right w:val="none" w:sz="0" w:space="0" w:color="auto"/>
                  </w:divBdr>
                </w:div>
                <w:div w:id="50116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453748">
          <w:marLeft w:val="0"/>
          <w:marRight w:val="0"/>
          <w:marTop w:val="0"/>
          <w:marBottom w:val="0"/>
          <w:divBdr>
            <w:top w:val="none" w:sz="0" w:space="0" w:color="auto"/>
            <w:left w:val="none" w:sz="0" w:space="0" w:color="auto"/>
            <w:bottom w:val="none" w:sz="0" w:space="0" w:color="auto"/>
            <w:right w:val="none" w:sz="0" w:space="0" w:color="auto"/>
          </w:divBdr>
          <w:divsChild>
            <w:div w:id="735055634">
              <w:marLeft w:val="0"/>
              <w:marRight w:val="0"/>
              <w:marTop w:val="0"/>
              <w:marBottom w:val="0"/>
              <w:divBdr>
                <w:top w:val="none" w:sz="0" w:space="0" w:color="auto"/>
                <w:left w:val="none" w:sz="0" w:space="0" w:color="auto"/>
                <w:bottom w:val="none" w:sz="0" w:space="0" w:color="auto"/>
                <w:right w:val="none" w:sz="0" w:space="0" w:color="auto"/>
              </w:divBdr>
            </w:div>
          </w:divsChild>
        </w:div>
        <w:div w:id="229654354">
          <w:marLeft w:val="0"/>
          <w:marRight w:val="0"/>
          <w:marTop w:val="0"/>
          <w:marBottom w:val="0"/>
          <w:divBdr>
            <w:top w:val="none" w:sz="0" w:space="0" w:color="auto"/>
            <w:left w:val="none" w:sz="0" w:space="0" w:color="auto"/>
            <w:bottom w:val="none" w:sz="0" w:space="0" w:color="auto"/>
            <w:right w:val="none" w:sz="0" w:space="0" w:color="auto"/>
          </w:divBdr>
          <w:divsChild>
            <w:div w:id="422341206">
              <w:marLeft w:val="0"/>
              <w:marRight w:val="0"/>
              <w:marTop w:val="0"/>
              <w:marBottom w:val="0"/>
              <w:divBdr>
                <w:top w:val="none" w:sz="0" w:space="0" w:color="auto"/>
                <w:left w:val="none" w:sz="0" w:space="0" w:color="auto"/>
                <w:bottom w:val="none" w:sz="0" w:space="0" w:color="auto"/>
                <w:right w:val="none" w:sz="0" w:space="0" w:color="auto"/>
              </w:divBdr>
            </w:div>
          </w:divsChild>
        </w:div>
        <w:div w:id="1735467097">
          <w:marLeft w:val="0"/>
          <w:marRight w:val="0"/>
          <w:marTop w:val="0"/>
          <w:marBottom w:val="0"/>
          <w:divBdr>
            <w:top w:val="none" w:sz="0" w:space="0" w:color="auto"/>
            <w:left w:val="none" w:sz="0" w:space="0" w:color="auto"/>
            <w:bottom w:val="none" w:sz="0" w:space="0" w:color="auto"/>
            <w:right w:val="none" w:sz="0" w:space="0" w:color="auto"/>
          </w:divBdr>
          <w:divsChild>
            <w:div w:id="909273308">
              <w:marLeft w:val="0"/>
              <w:marRight w:val="0"/>
              <w:marTop w:val="0"/>
              <w:marBottom w:val="0"/>
              <w:divBdr>
                <w:top w:val="none" w:sz="0" w:space="0" w:color="auto"/>
                <w:left w:val="none" w:sz="0" w:space="0" w:color="auto"/>
                <w:bottom w:val="none" w:sz="0" w:space="0" w:color="auto"/>
                <w:right w:val="none" w:sz="0" w:space="0" w:color="auto"/>
              </w:divBdr>
            </w:div>
          </w:divsChild>
        </w:div>
        <w:div w:id="441805730">
          <w:marLeft w:val="0"/>
          <w:marRight w:val="0"/>
          <w:marTop w:val="0"/>
          <w:marBottom w:val="0"/>
          <w:divBdr>
            <w:top w:val="none" w:sz="0" w:space="0" w:color="auto"/>
            <w:left w:val="none" w:sz="0" w:space="0" w:color="auto"/>
            <w:bottom w:val="none" w:sz="0" w:space="0" w:color="auto"/>
            <w:right w:val="none" w:sz="0" w:space="0" w:color="auto"/>
          </w:divBdr>
          <w:divsChild>
            <w:div w:id="76170425">
              <w:marLeft w:val="0"/>
              <w:marRight w:val="0"/>
              <w:marTop w:val="0"/>
              <w:marBottom w:val="0"/>
              <w:divBdr>
                <w:top w:val="none" w:sz="0" w:space="0" w:color="auto"/>
                <w:left w:val="none" w:sz="0" w:space="0" w:color="auto"/>
                <w:bottom w:val="none" w:sz="0" w:space="0" w:color="auto"/>
                <w:right w:val="none" w:sz="0" w:space="0" w:color="auto"/>
              </w:divBdr>
            </w:div>
          </w:divsChild>
        </w:div>
        <w:div w:id="1597981467">
          <w:marLeft w:val="0"/>
          <w:marRight w:val="0"/>
          <w:marTop w:val="480"/>
          <w:marBottom w:val="240"/>
          <w:divBdr>
            <w:top w:val="none" w:sz="0" w:space="0" w:color="auto"/>
            <w:left w:val="none" w:sz="0" w:space="0" w:color="auto"/>
            <w:bottom w:val="none" w:sz="0" w:space="0" w:color="auto"/>
            <w:right w:val="none" w:sz="0" w:space="0" w:color="auto"/>
          </w:divBdr>
        </w:div>
        <w:div w:id="2102869259">
          <w:marLeft w:val="0"/>
          <w:marRight w:val="0"/>
          <w:marTop w:val="0"/>
          <w:marBottom w:val="0"/>
          <w:divBdr>
            <w:top w:val="none" w:sz="0" w:space="0" w:color="auto"/>
            <w:left w:val="none" w:sz="0" w:space="0" w:color="auto"/>
            <w:bottom w:val="none" w:sz="0" w:space="0" w:color="auto"/>
            <w:right w:val="none" w:sz="0" w:space="0" w:color="auto"/>
          </w:divBdr>
          <w:divsChild>
            <w:div w:id="195585719">
              <w:marLeft w:val="0"/>
              <w:marRight w:val="0"/>
              <w:marTop w:val="0"/>
              <w:marBottom w:val="0"/>
              <w:divBdr>
                <w:top w:val="none" w:sz="0" w:space="0" w:color="auto"/>
                <w:left w:val="none" w:sz="0" w:space="0" w:color="auto"/>
                <w:bottom w:val="none" w:sz="0" w:space="0" w:color="auto"/>
                <w:right w:val="none" w:sz="0" w:space="0" w:color="auto"/>
              </w:divBdr>
            </w:div>
            <w:div w:id="49378536">
              <w:marLeft w:val="0"/>
              <w:marRight w:val="0"/>
              <w:marTop w:val="0"/>
              <w:marBottom w:val="0"/>
              <w:divBdr>
                <w:top w:val="none" w:sz="0" w:space="0" w:color="auto"/>
                <w:left w:val="none" w:sz="0" w:space="0" w:color="auto"/>
                <w:bottom w:val="none" w:sz="0" w:space="0" w:color="auto"/>
                <w:right w:val="none" w:sz="0" w:space="0" w:color="auto"/>
              </w:divBdr>
              <w:divsChild>
                <w:div w:id="425077147">
                  <w:marLeft w:val="0"/>
                  <w:marRight w:val="0"/>
                  <w:marTop w:val="0"/>
                  <w:marBottom w:val="0"/>
                  <w:divBdr>
                    <w:top w:val="none" w:sz="0" w:space="0" w:color="auto"/>
                    <w:left w:val="none" w:sz="0" w:space="0" w:color="auto"/>
                    <w:bottom w:val="none" w:sz="0" w:space="0" w:color="auto"/>
                    <w:right w:val="none" w:sz="0" w:space="0" w:color="auto"/>
                  </w:divBdr>
                </w:div>
                <w:div w:id="570194743">
                  <w:marLeft w:val="0"/>
                  <w:marRight w:val="0"/>
                  <w:marTop w:val="0"/>
                  <w:marBottom w:val="0"/>
                  <w:divBdr>
                    <w:top w:val="none" w:sz="0" w:space="0" w:color="auto"/>
                    <w:left w:val="none" w:sz="0" w:space="0" w:color="auto"/>
                    <w:bottom w:val="none" w:sz="0" w:space="0" w:color="auto"/>
                    <w:right w:val="none" w:sz="0" w:space="0" w:color="auto"/>
                  </w:divBdr>
                </w:div>
                <w:div w:id="151600538">
                  <w:marLeft w:val="0"/>
                  <w:marRight w:val="0"/>
                  <w:marTop w:val="0"/>
                  <w:marBottom w:val="0"/>
                  <w:divBdr>
                    <w:top w:val="none" w:sz="0" w:space="0" w:color="auto"/>
                    <w:left w:val="none" w:sz="0" w:space="0" w:color="auto"/>
                    <w:bottom w:val="none" w:sz="0" w:space="0" w:color="auto"/>
                    <w:right w:val="none" w:sz="0" w:space="0" w:color="auto"/>
                  </w:divBdr>
                </w:div>
                <w:div w:id="1614284736">
                  <w:marLeft w:val="0"/>
                  <w:marRight w:val="0"/>
                  <w:marTop w:val="0"/>
                  <w:marBottom w:val="0"/>
                  <w:divBdr>
                    <w:top w:val="none" w:sz="0" w:space="0" w:color="auto"/>
                    <w:left w:val="none" w:sz="0" w:space="0" w:color="auto"/>
                    <w:bottom w:val="none" w:sz="0" w:space="0" w:color="auto"/>
                    <w:right w:val="none" w:sz="0" w:space="0" w:color="auto"/>
                  </w:divBdr>
                </w:div>
                <w:div w:id="1616863873">
                  <w:marLeft w:val="0"/>
                  <w:marRight w:val="0"/>
                  <w:marTop w:val="0"/>
                  <w:marBottom w:val="0"/>
                  <w:divBdr>
                    <w:top w:val="none" w:sz="0" w:space="0" w:color="auto"/>
                    <w:left w:val="none" w:sz="0" w:space="0" w:color="auto"/>
                    <w:bottom w:val="none" w:sz="0" w:space="0" w:color="auto"/>
                    <w:right w:val="none" w:sz="0" w:space="0" w:color="auto"/>
                  </w:divBdr>
                </w:div>
              </w:divsChild>
            </w:div>
            <w:div w:id="1832016497">
              <w:marLeft w:val="0"/>
              <w:marRight w:val="0"/>
              <w:marTop w:val="0"/>
              <w:marBottom w:val="0"/>
              <w:divBdr>
                <w:top w:val="none" w:sz="0" w:space="0" w:color="auto"/>
                <w:left w:val="none" w:sz="0" w:space="0" w:color="auto"/>
                <w:bottom w:val="none" w:sz="0" w:space="0" w:color="auto"/>
                <w:right w:val="none" w:sz="0" w:space="0" w:color="auto"/>
              </w:divBdr>
              <w:divsChild>
                <w:div w:id="78916971">
                  <w:marLeft w:val="0"/>
                  <w:marRight w:val="0"/>
                  <w:marTop w:val="0"/>
                  <w:marBottom w:val="0"/>
                  <w:divBdr>
                    <w:top w:val="none" w:sz="0" w:space="0" w:color="auto"/>
                    <w:left w:val="none" w:sz="0" w:space="0" w:color="auto"/>
                    <w:bottom w:val="none" w:sz="0" w:space="0" w:color="auto"/>
                    <w:right w:val="none" w:sz="0" w:space="0" w:color="auto"/>
                  </w:divBdr>
                </w:div>
              </w:divsChild>
            </w:div>
            <w:div w:id="991324461">
              <w:marLeft w:val="0"/>
              <w:marRight w:val="0"/>
              <w:marTop w:val="0"/>
              <w:marBottom w:val="0"/>
              <w:divBdr>
                <w:top w:val="none" w:sz="0" w:space="0" w:color="auto"/>
                <w:left w:val="none" w:sz="0" w:space="0" w:color="auto"/>
                <w:bottom w:val="none" w:sz="0" w:space="0" w:color="auto"/>
                <w:right w:val="none" w:sz="0" w:space="0" w:color="auto"/>
              </w:divBdr>
              <w:divsChild>
                <w:div w:id="119186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25733">
          <w:marLeft w:val="0"/>
          <w:marRight w:val="0"/>
          <w:marTop w:val="0"/>
          <w:marBottom w:val="0"/>
          <w:divBdr>
            <w:top w:val="none" w:sz="0" w:space="0" w:color="auto"/>
            <w:left w:val="none" w:sz="0" w:space="0" w:color="auto"/>
            <w:bottom w:val="none" w:sz="0" w:space="0" w:color="auto"/>
            <w:right w:val="none" w:sz="0" w:space="0" w:color="auto"/>
          </w:divBdr>
          <w:divsChild>
            <w:div w:id="2004772403">
              <w:marLeft w:val="0"/>
              <w:marRight w:val="0"/>
              <w:marTop w:val="0"/>
              <w:marBottom w:val="0"/>
              <w:divBdr>
                <w:top w:val="none" w:sz="0" w:space="0" w:color="auto"/>
                <w:left w:val="none" w:sz="0" w:space="0" w:color="auto"/>
                <w:bottom w:val="none" w:sz="0" w:space="0" w:color="auto"/>
                <w:right w:val="none" w:sz="0" w:space="0" w:color="auto"/>
              </w:divBdr>
            </w:div>
            <w:div w:id="903493908">
              <w:marLeft w:val="0"/>
              <w:marRight w:val="0"/>
              <w:marTop w:val="0"/>
              <w:marBottom w:val="0"/>
              <w:divBdr>
                <w:top w:val="none" w:sz="0" w:space="0" w:color="auto"/>
                <w:left w:val="none" w:sz="0" w:space="0" w:color="auto"/>
                <w:bottom w:val="none" w:sz="0" w:space="0" w:color="auto"/>
                <w:right w:val="none" w:sz="0" w:space="0" w:color="auto"/>
              </w:divBdr>
              <w:divsChild>
                <w:div w:id="1559244634">
                  <w:marLeft w:val="0"/>
                  <w:marRight w:val="0"/>
                  <w:marTop w:val="0"/>
                  <w:marBottom w:val="0"/>
                  <w:divBdr>
                    <w:top w:val="none" w:sz="0" w:space="0" w:color="auto"/>
                    <w:left w:val="none" w:sz="0" w:space="0" w:color="auto"/>
                    <w:bottom w:val="none" w:sz="0" w:space="0" w:color="auto"/>
                    <w:right w:val="none" w:sz="0" w:space="0" w:color="auto"/>
                  </w:divBdr>
                </w:div>
              </w:divsChild>
            </w:div>
            <w:div w:id="1862355100">
              <w:marLeft w:val="0"/>
              <w:marRight w:val="0"/>
              <w:marTop w:val="0"/>
              <w:marBottom w:val="0"/>
              <w:divBdr>
                <w:top w:val="none" w:sz="0" w:space="0" w:color="auto"/>
                <w:left w:val="none" w:sz="0" w:space="0" w:color="auto"/>
                <w:bottom w:val="none" w:sz="0" w:space="0" w:color="auto"/>
                <w:right w:val="none" w:sz="0" w:space="0" w:color="auto"/>
              </w:divBdr>
              <w:divsChild>
                <w:div w:id="1083718236">
                  <w:marLeft w:val="0"/>
                  <w:marRight w:val="0"/>
                  <w:marTop w:val="0"/>
                  <w:marBottom w:val="0"/>
                  <w:divBdr>
                    <w:top w:val="none" w:sz="0" w:space="0" w:color="auto"/>
                    <w:left w:val="none" w:sz="0" w:space="0" w:color="auto"/>
                    <w:bottom w:val="none" w:sz="0" w:space="0" w:color="auto"/>
                    <w:right w:val="none" w:sz="0" w:space="0" w:color="auto"/>
                  </w:divBdr>
                </w:div>
              </w:divsChild>
            </w:div>
            <w:div w:id="2055538869">
              <w:marLeft w:val="0"/>
              <w:marRight w:val="0"/>
              <w:marTop w:val="0"/>
              <w:marBottom w:val="0"/>
              <w:divBdr>
                <w:top w:val="none" w:sz="0" w:space="0" w:color="auto"/>
                <w:left w:val="none" w:sz="0" w:space="0" w:color="auto"/>
                <w:bottom w:val="none" w:sz="0" w:space="0" w:color="auto"/>
                <w:right w:val="none" w:sz="0" w:space="0" w:color="auto"/>
              </w:divBdr>
              <w:divsChild>
                <w:div w:id="674964022">
                  <w:marLeft w:val="0"/>
                  <w:marRight w:val="0"/>
                  <w:marTop w:val="0"/>
                  <w:marBottom w:val="0"/>
                  <w:divBdr>
                    <w:top w:val="none" w:sz="0" w:space="0" w:color="auto"/>
                    <w:left w:val="none" w:sz="0" w:space="0" w:color="auto"/>
                    <w:bottom w:val="none" w:sz="0" w:space="0" w:color="auto"/>
                    <w:right w:val="none" w:sz="0" w:space="0" w:color="auto"/>
                  </w:divBdr>
                </w:div>
              </w:divsChild>
            </w:div>
            <w:div w:id="47608294">
              <w:marLeft w:val="0"/>
              <w:marRight w:val="0"/>
              <w:marTop w:val="0"/>
              <w:marBottom w:val="0"/>
              <w:divBdr>
                <w:top w:val="none" w:sz="0" w:space="0" w:color="auto"/>
                <w:left w:val="none" w:sz="0" w:space="0" w:color="auto"/>
                <w:bottom w:val="none" w:sz="0" w:space="0" w:color="auto"/>
                <w:right w:val="none" w:sz="0" w:space="0" w:color="auto"/>
              </w:divBdr>
              <w:divsChild>
                <w:div w:id="453410471">
                  <w:marLeft w:val="0"/>
                  <w:marRight w:val="0"/>
                  <w:marTop w:val="0"/>
                  <w:marBottom w:val="0"/>
                  <w:divBdr>
                    <w:top w:val="none" w:sz="0" w:space="0" w:color="auto"/>
                    <w:left w:val="none" w:sz="0" w:space="0" w:color="auto"/>
                    <w:bottom w:val="none" w:sz="0" w:space="0" w:color="auto"/>
                    <w:right w:val="none" w:sz="0" w:space="0" w:color="auto"/>
                  </w:divBdr>
                </w:div>
              </w:divsChild>
            </w:div>
            <w:div w:id="1262643708">
              <w:marLeft w:val="0"/>
              <w:marRight w:val="0"/>
              <w:marTop w:val="0"/>
              <w:marBottom w:val="0"/>
              <w:divBdr>
                <w:top w:val="none" w:sz="0" w:space="0" w:color="auto"/>
                <w:left w:val="none" w:sz="0" w:space="0" w:color="auto"/>
                <w:bottom w:val="none" w:sz="0" w:space="0" w:color="auto"/>
                <w:right w:val="none" w:sz="0" w:space="0" w:color="auto"/>
              </w:divBdr>
              <w:divsChild>
                <w:div w:id="532812079">
                  <w:marLeft w:val="0"/>
                  <w:marRight w:val="0"/>
                  <w:marTop w:val="0"/>
                  <w:marBottom w:val="0"/>
                  <w:divBdr>
                    <w:top w:val="none" w:sz="0" w:space="0" w:color="auto"/>
                    <w:left w:val="none" w:sz="0" w:space="0" w:color="auto"/>
                    <w:bottom w:val="none" w:sz="0" w:space="0" w:color="auto"/>
                    <w:right w:val="none" w:sz="0" w:space="0" w:color="auto"/>
                  </w:divBdr>
                </w:div>
              </w:divsChild>
            </w:div>
            <w:div w:id="928345510">
              <w:marLeft w:val="0"/>
              <w:marRight w:val="0"/>
              <w:marTop w:val="0"/>
              <w:marBottom w:val="0"/>
              <w:divBdr>
                <w:top w:val="none" w:sz="0" w:space="0" w:color="auto"/>
                <w:left w:val="none" w:sz="0" w:space="0" w:color="auto"/>
                <w:bottom w:val="none" w:sz="0" w:space="0" w:color="auto"/>
                <w:right w:val="none" w:sz="0" w:space="0" w:color="auto"/>
              </w:divBdr>
              <w:divsChild>
                <w:div w:id="5521490">
                  <w:marLeft w:val="0"/>
                  <w:marRight w:val="0"/>
                  <w:marTop w:val="0"/>
                  <w:marBottom w:val="0"/>
                  <w:divBdr>
                    <w:top w:val="none" w:sz="0" w:space="0" w:color="auto"/>
                    <w:left w:val="none" w:sz="0" w:space="0" w:color="auto"/>
                    <w:bottom w:val="none" w:sz="0" w:space="0" w:color="auto"/>
                    <w:right w:val="none" w:sz="0" w:space="0" w:color="auto"/>
                  </w:divBdr>
                </w:div>
              </w:divsChild>
            </w:div>
            <w:div w:id="421145775">
              <w:marLeft w:val="0"/>
              <w:marRight w:val="0"/>
              <w:marTop w:val="0"/>
              <w:marBottom w:val="0"/>
              <w:divBdr>
                <w:top w:val="none" w:sz="0" w:space="0" w:color="auto"/>
                <w:left w:val="none" w:sz="0" w:space="0" w:color="auto"/>
                <w:bottom w:val="none" w:sz="0" w:space="0" w:color="auto"/>
                <w:right w:val="none" w:sz="0" w:space="0" w:color="auto"/>
              </w:divBdr>
              <w:divsChild>
                <w:div w:id="489567533">
                  <w:marLeft w:val="0"/>
                  <w:marRight w:val="0"/>
                  <w:marTop w:val="0"/>
                  <w:marBottom w:val="0"/>
                  <w:divBdr>
                    <w:top w:val="none" w:sz="0" w:space="0" w:color="auto"/>
                    <w:left w:val="none" w:sz="0" w:space="0" w:color="auto"/>
                    <w:bottom w:val="none" w:sz="0" w:space="0" w:color="auto"/>
                    <w:right w:val="none" w:sz="0" w:space="0" w:color="auto"/>
                  </w:divBdr>
                </w:div>
              </w:divsChild>
            </w:div>
            <w:div w:id="1370375909">
              <w:marLeft w:val="0"/>
              <w:marRight w:val="0"/>
              <w:marTop w:val="0"/>
              <w:marBottom w:val="0"/>
              <w:divBdr>
                <w:top w:val="none" w:sz="0" w:space="0" w:color="auto"/>
                <w:left w:val="none" w:sz="0" w:space="0" w:color="auto"/>
                <w:bottom w:val="none" w:sz="0" w:space="0" w:color="auto"/>
                <w:right w:val="none" w:sz="0" w:space="0" w:color="auto"/>
              </w:divBdr>
              <w:divsChild>
                <w:div w:id="1175726111">
                  <w:marLeft w:val="0"/>
                  <w:marRight w:val="0"/>
                  <w:marTop w:val="0"/>
                  <w:marBottom w:val="0"/>
                  <w:divBdr>
                    <w:top w:val="none" w:sz="0" w:space="0" w:color="auto"/>
                    <w:left w:val="none" w:sz="0" w:space="0" w:color="auto"/>
                    <w:bottom w:val="none" w:sz="0" w:space="0" w:color="auto"/>
                    <w:right w:val="none" w:sz="0" w:space="0" w:color="auto"/>
                  </w:divBdr>
                </w:div>
              </w:divsChild>
            </w:div>
            <w:div w:id="642468857">
              <w:marLeft w:val="0"/>
              <w:marRight w:val="0"/>
              <w:marTop w:val="0"/>
              <w:marBottom w:val="0"/>
              <w:divBdr>
                <w:top w:val="none" w:sz="0" w:space="0" w:color="auto"/>
                <w:left w:val="none" w:sz="0" w:space="0" w:color="auto"/>
                <w:bottom w:val="none" w:sz="0" w:space="0" w:color="auto"/>
                <w:right w:val="none" w:sz="0" w:space="0" w:color="auto"/>
              </w:divBdr>
              <w:divsChild>
                <w:div w:id="1731462939">
                  <w:marLeft w:val="0"/>
                  <w:marRight w:val="0"/>
                  <w:marTop w:val="0"/>
                  <w:marBottom w:val="0"/>
                  <w:divBdr>
                    <w:top w:val="none" w:sz="0" w:space="0" w:color="auto"/>
                    <w:left w:val="none" w:sz="0" w:space="0" w:color="auto"/>
                    <w:bottom w:val="none" w:sz="0" w:space="0" w:color="auto"/>
                    <w:right w:val="none" w:sz="0" w:space="0" w:color="auto"/>
                  </w:divBdr>
                </w:div>
              </w:divsChild>
            </w:div>
            <w:div w:id="1915628114">
              <w:marLeft w:val="0"/>
              <w:marRight w:val="0"/>
              <w:marTop w:val="0"/>
              <w:marBottom w:val="0"/>
              <w:divBdr>
                <w:top w:val="none" w:sz="0" w:space="0" w:color="auto"/>
                <w:left w:val="none" w:sz="0" w:space="0" w:color="auto"/>
                <w:bottom w:val="none" w:sz="0" w:space="0" w:color="auto"/>
                <w:right w:val="none" w:sz="0" w:space="0" w:color="auto"/>
              </w:divBdr>
              <w:divsChild>
                <w:div w:id="529689200">
                  <w:marLeft w:val="0"/>
                  <w:marRight w:val="0"/>
                  <w:marTop w:val="0"/>
                  <w:marBottom w:val="0"/>
                  <w:divBdr>
                    <w:top w:val="none" w:sz="0" w:space="0" w:color="auto"/>
                    <w:left w:val="none" w:sz="0" w:space="0" w:color="auto"/>
                    <w:bottom w:val="none" w:sz="0" w:space="0" w:color="auto"/>
                    <w:right w:val="none" w:sz="0" w:space="0" w:color="auto"/>
                  </w:divBdr>
                </w:div>
              </w:divsChild>
            </w:div>
            <w:div w:id="419719964">
              <w:marLeft w:val="0"/>
              <w:marRight w:val="0"/>
              <w:marTop w:val="0"/>
              <w:marBottom w:val="0"/>
              <w:divBdr>
                <w:top w:val="none" w:sz="0" w:space="0" w:color="auto"/>
                <w:left w:val="none" w:sz="0" w:space="0" w:color="auto"/>
                <w:bottom w:val="none" w:sz="0" w:space="0" w:color="auto"/>
                <w:right w:val="none" w:sz="0" w:space="0" w:color="auto"/>
              </w:divBdr>
              <w:divsChild>
                <w:div w:id="67622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172688">
          <w:marLeft w:val="0"/>
          <w:marRight w:val="0"/>
          <w:marTop w:val="0"/>
          <w:marBottom w:val="0"/>
          <w:divBdr>
            <w:top w:val="none" w:sz="0" w:space="0" w:color="auto"/>
            <w:left w:val="none" w:sz="0" w:space="0" w:color="auto"/>
            <w:bottom w:val="none" w:sz="0" w:space="0" w:color="auto"/>
            <w:right w:val="none" w:sz="0" w:space="0" w:color="auto"/>
          </w:divBdr>
          <w:divsChild>
            <w:div w:id="1231043507">
              <w:marLeft w:val="0"/>
              <w:marRight w:val="0"/>
              <w:marTop w:val="0"/>
              <w:marBottom w:val="0"/>
              <w:divBdr>
                <w:top w:val="none" w:sz="0" w:space="0" w:color="auto"/>
                <w:left w:val="none" w:sz="0" w:space="0" w:color="auto"/>
                <w:bottom w:val="none" w:sz="0" w:space="0" w:color="auto"/>
                <w:right w:val="none" w:sz="0" w:space="0" w:color="auto"/>
              </w:divBdr>
            </w:div>
            <w:div w:id="1647662815">
              <w:marLeft w:val="0"/>
              <w:marRight w:val="0"/>
              <w:marTop w:val="0"/>
              <w:marBottom w:val="0"/>
              <w:divBdr>
                <w:top w:val="none" w:sz="0" w:space="0" w:color="auto"/>
                <w:left w:val="none" w:sz="0" w:space="0" w:color="auto"/>
                <w:bottom w:val="none" w:sz="0" w:space="0" w:color="auto"/>
                <w:right w:val="none" w:sz="0" w:space="0" w:color="auto"/>
              </w:divBdr>
            </w:div>
            <w:div w:id="1348406856">
              <w:marLeft w:val="0"/>
              <w:marRight w:val="0"/>
              <w:marTop w:val="0"/>
              <w:marBottom w:val="0"/>
              <w:divBdr>
                <w:top w:val="none" w:sz="0" w:space="0" w:color="auto"/>
                <w:left w:val="none" w:sz="0" w:space="0" w:color="auto"/>
                <w:bottom w:val="none" w:sz="0" w:space="0" w:color="auto"/>
                <w:right w:val="none" w:sz="0" w:space="0" w:color="auto"/>
              </w:divBdr>
            </w:div>
          </w:divsChild>
        </w:div>
        <w:div w:id="636683905">
          <w:marLeft w:val="0"/>
          <w:marRight w:val="0"/>
          <w:marTop w:val="0"/>
          <w:marBottom w:val="0"/>
          <w:divBdr>
            <w:top w:val="none" w:sz="0" w:space="0" w:color="auto"/>
            <w:left w:val="none" w:sz="0" w:space="0" w:color="auto"/>
            <w:bottom w:val="none" w:sz="0" w:space="0" w:color="auto"/>
            <w:right w:val="none" w:sz="0" w:space="0" w:color="auto"/>
          </w:divBdr>
          <w:divsChild>
            <w:div w:id="1190216810">
              <w:marLeft w:val="0"/>
              <w:marRight w:val="0"/>
              <w:marTop w:val="0"/>
              <w:marBottom w:val="0"/>
              <w:divBdr>
                <w:top w:val="none" w:sz="0" w:space="0" w:color="auto"/>
                <w:left w:val="none" w:sz="0" w:space="0" w:color="auto"/>
                <w:bottom w:val="none" w:sz="0" w:space="0" w:color="auto"/>
                <w:right w:val="none" w:sz="0" w:space="0" w:color="auto"/>
              </w:divBdr>
            </w:div>
            <w:div w:id="135269481">
              <w:marLeft w:val="0"/>
              <w:marRight w:val="0"/>
              <w:marTop w:val="0"/>
              <w:marBottom w:val="0"/>
              <w:divBdr>
                <w:top w:val="none" w:sz="0" w:space="0" w:color="auto"/>
                <w:left w:val="none" w:sz="0" w:space="0" w:color="auto"/>
                <w:bottom w:val="none" w:sz="0" w:space="0" w:color="auto"/>
                <w:right w:val="none" w:sz="0" w:space="0" w:color="auto"/>
              </w:divBdr>
              <w:divsChild>
                <w:div w:id="726103252">
                  <w:marLeft w:val="0"/>
                  <w:marRight w:val="0"/>
                  <w:marTop w:val="0"/>
                  <w:marBottom w:val="0"/>
                  <w:divBdr>
                    <w:top w:val="none" w:sz="0" w:space="0" w:color="auto"/>
                    <w:left w:val="none" w:sz="0" w:space="0" w:color="auto"/>
                    <w:bottom w:val="none" w:sz="0" w:space="0" w:color="auto"/>
                    <w:right w:val="none" w:sz="0" w:space="0" w:color="auto"/>
                  </w:divBdr>
                </w:div>
              </w:divsChild>
            </w:div>
            <w:div w:id="2003849882">
              <w:marLeft w:val="0"/>
              <w:marRight w:val="0"/>
              <w:marTop w:val="0"/>
              <w:marBottom w:val="0"/>
              <w:divBdr>
                <w:top w:val="none" w:sz="0" w:space="0" w:color="auto"/>
                <w:left w:val="none" w:sz="0" w:space="0" w:color="auto"/>
                <w:bottom w:val="none" w:sz="0" w:space="0" w:color="auto"/>
                <w:right w:val="none" w:sz="0" w:space="0" w:color="auto"/>
              </w:divBdr>
              <w:divsChild>
                <w:div w:id="341126391">
                  <w:marLeft w:val="0"/>
                  <w:marRight w:val="0"/>
                  <w:marTop w:val="0"/>
                  <w:marBottom w:val="0"/>
                  <w:divBdr>
                    <w:top w:val="none" w:sz="0" w:space="0" w:color="auto"/>
                    <w:left w:val="none" w:sz="0" w:space="0" w:color="auto"/>
                    <w:bottom w:val="none" w:sz="0" w:space="0" w:color="auto"/>
                    <w:right w:val="none" w:sz="0" w:space="0" w:color="auto"/>
                  </w:divBdr>
                </w:div>
                <w:div w:id="166412269">
                  <w:marLeft w:val="0"/>
                  <w:marRight w:val="0"/>
                  <w:marTop w:val="0"/>
                  <w:marBottom w:val="0"/>
                  <w:divBdr>
                    <w:top w:val="none" w:sz="0" w:space="0" w:color="auto"/>
                    <w:left w:val="none" w:sz="0" w:space="0" w:color="auto"/>
                    <w:bottom w:val="none" w:sz="0" w:space="0" w:color="auto"/>
                    <w:right w:val="none" w:sz="0" w:space="0" w:color="auto"/>
                  </w:divBdr>
                </w:div>
                <w:div w:id="220947269">
                  <w:marLeft w:val="0"/>
                  <w:marRight w:val="0"/>
                  <w:marTop w:val="0"/>
                  <w:marBottom w:val="0"/>
                  <w:divBdr>
                    <w:top w:val="none" w:sz="0" w:space="0" w:color="auto"/>
                    <w:left w:val="none" w:sz="0" w:space="0" w:color="auto"/>
                    <w:bottom w:val="none" w:sz="0" w:space="0" w:color="auto"/>
                    <w:right w:val="none" w:sz="0" w:space="0" w:color="auto"/>
                  </w:divBdr>
                </w:div>
              </w:divsChild>
            </w:div>
            <w:div w:id="869876764">
              <w:marLeft w:val="0"/>
              <w:marRight w:val="0"/>
              <w:marTop w:val="0"/>
              <w:marBottom w:val="0"/>
              <w:divBdr>
                <w:top w:val="none" w:sz="0" w:space="0" w:color="auto"/>
                <w:left w:val="none" w:sz="0" w:space="0" w:color="auto"/>
                <w:bottom w:val="none" w:sz="0" w:space="0" w:color="auto"/>
                <w:right w:val="none" w:sz="0" w:space="0" w:color="auto"/>
              </w:divBdr>
              <w:divsChild>
                <w:div w:id="1808352732">
                  <w:marLeft w:val="0"/>
                  <w:marRight w:val="0"/>
                  <w:marTop w:val="0"/>
                  <w:marBottom w:val="0"/>
                  <w:divBdr>
                    <w:top w:val="none" w:sz="0" w:space="0" w:color="auto"/>
                    <w:left w:val="none" w:sz="0" w:space="0" w:color="auto"/>
                    <w:bottom w:val="none" w:sz="0" w:space="0" w:color="auto"/>
                    <w:right w:val="none" w:sz="0" w:space="0" w:color="auto"/>
                  </w:divBdr>
                </w:div>
              </w:divsChild>
            </w:div>
            <w:div w:id="47150738">
              <w:marLeft w:val="0"/>
              <w:marRight w:val="0"/>
              <w:marTop w:val="0"/>
              <w:marBottom w:val="0"/>
              <w:divBdr>
                <w:top w:val="none" w:sz="0" w:space="0" w:color="auto"/>
                <w:left w:val="none" w:sz="0" w:space="0" w:color="auto"/>
                <w:bottom w:val="none" w:sz="0" w:space="0" w:color="auto"/>
                <w:right w:val="none" w:sz="0" w:space="0" w:color="auto"/>
              </w:divBdr>
              <w:divsChild>
                <w:div w:id="2073310462">
                  <w:marLeft w:val="0"/>
                  <w:marRight w:val="0"/>
                  <w:marTop w:val="0"/>
                  <w:marBottom w:val="0"/>
                  <w:divBdr>
                    <w:top w:val="none" w:sz="0" w:space="0" w:color="auto"/>
                    <w:left w:val="none" w:sz="0" w:space="0" w:color="auto"/>
                    <w:bottom w:val="none" w:sz="0" w:space="0" w:color="auto"/>
                    <w:right w:val="none" w:sz="0" w:space="0" w:color="auto"/>
                  </w:divBdr>
                </w:div>
              </w:divsChild>
            </w:div>
            <w:div w:id="1590457146">
              <w:marLeft w:val="0"/>
              <w:marRight w:val="0"/>
              <w:marTop w:val="0"/>
              <w:marBottom w:val="0"/>
              <w:divBdr>
                <w:top w:val="none" w:sz="0" w:space="0" w:color="auto"/>
                <w:left w:val="none" w:sz="0" w:space="0" w:color="auto"/>
                <w:bottom w:val="none" w:sz="0" w:space="0" w:color="auto"/>
                <w:right w:val="none" w:sz="0" w:space="0" w:color="auto"/>
              </w:divBdr>
              <w:divsChild>
                <w:div w:id="1464887472">
                  <w:marLeft w:val="0"/>
                  <w:marRight w:val="0"/>
                  <w:marTop w:val="0"/>
                  <w:marBottom w:val="0"/>
                  <w:divBdr>
                    <w:top w:val="none" w:sz="0" w:space="0" w:color="auto"/>
                    <w:left w:val="none" w:sz="0" w:space="0" w:color="auto"/>
                    <w:bottom w:val="none" w:sz="0" w:space="0" w:color="auto"/>
                    <w:right w:val="none" w:sz="0" w:space="0" w:color="auto"/>
                  </w:divBdr>
                </w:div>
              </w:divsChild>
            </w:div>
            <w:div w:id="443421437">
              <w:marLeft w:val="0"/>
              <w:marRight w:val="0"/>
              <w:marTop w:val="0"/>
              <w:marBottom w:val="0"/>
              <w:divBdr>
                <w:top w:val="none" w:sz="0" w:space="0" w:color="auto"/>
                <w:left w:val="none" w:sz="0" w:space="0" w:color="auto"/>
                <w:bottom w:val="none" w:sz="0" w:space="0" w:color="auto"/>
                <w:right w:val="none" w:sz="0" w:space="0" w:color="auto"/>
              </w:divBdr>
              <w:divsChild>
                <w:div w:id="278681210">
                  <w:marLeft w:val="0"/>
                  <w:marRight w:val="0"/>
                  <w:marTop w:val="0"/>
                  <w:marBottom w:val="0"/>
                  <w:divBdr>
                    <w:top w:val="none" w:sz="0" w:space="0" w:color="auto"/>
                    <w:left w:val="none" w:sz="0" w:space="0" w:color="auto"/>
                    <w:bottom w:val="none" w:sz="0" w:space="0" w:color="auto"/>
                    <w:right w:val="none" w:sz="0" w:space="0" w:color="auto"/>
                  </w:divBdr>
                </w:div>
              </w:divsChild>
            </w:div>
            <w:div w:id="89393221">
              <w:marLeft w:val="0"/>
              <w:marRight w:val="0"/>
              <w:marTop w:val="0"/>
              <w:marBottom w:val="0"/>
              <w:divBdr>
                <w:top w:val="none" w:sz="0" w:space="0" w:color="auto"/>
                <w:left w:val="none" w:sz="0" w:space="0" w:color="auto"/>
                <w:bottom w:val="none" w:sz="0" w:space="0" w:color="auto"/>
                <w:right w:val="none" w:sz="0" w:space="0" w:color="auto"/>
              </w:divBdr>
              <w:divsChild>
                <w:div w:id="175536700">
                  <w:marLeft w:val="0"/>
                  <w:marRight w:val="0"/>
                  <w:marTop w:val="0"/>
                  <w:marBottom w:val="0"/>
                  <w:divBdr>
                    <w:top w:val="none" w:sz="0" w:space="0" w:color="auto"/>
                    <w:left w:val="none" w:sz="0" w:space="0" w:color="auto"/>
                    <w:bottom w:val="none" w:sz="0" w:space="0" w:color="auto"/>
                    <w:right w:val="none" w:sz="0" w:space="0" w:color="auto"/>
                  </w:divBdr>
                </w:div>
              </w:divsChild>
            </w:div>
            <w:div w:id="1735397510">
              <w:marLeft w:val="0"/>
              <w:marRight w:val="0"/>
              <w:marTop w:val="0"/>
              <w:marBottom w:val="0"/>
              <w:divBdr>
                <w:top w:val="none" w:sz="0" w:space="0" w:color="auto"/>
                <w:left w:val="none" w:sz="0" w:space="0" w:color="auto"/>
                <w:bottom w:val="none" w:sz="0" w:space="0" w:color="auto"/>
                <w:right w:val="none" w:sz="0" w:space="0" w:color="auto"/>
              </w:divBdr>
              <w:divsChild>
                <w:div w:id="1485924789">
                  <w:marLeft w:val="0"/>
                  <w:marRight w:val="0"/>
                  <w:marTop w:val="0"/>
                  <w:marBottom w:val="0"/>
                  <w:divBdr>
                    <w:top w:val="none" w:sz="0" w:space="0" w:color="auto"/>
                    <w:left w:val="none" w:sz="0" w:space="0" w:color="auto"/>
                    <w:bottom w:val="none" w:sz="0" w:space="0" w:color="auto"/>
                    <w:right w:val="none" w:sz="0" w:space="0" w:color="auto"/>
                  </w:divBdr>
                </w:div>
              </w:divsChild>
            </w:div>
            <w:div w:id="676615314">
              <w:marLeft w:val="0"/>
              <w:marRight w:val="0"/>
              <w:marTop w:val="0"/>
              <w:marBottom w:val="0"/>
              <w:divBdr>
                <w:top w:val="none" w:sz="0" w:space="0" w:color="auto"/>
                <w:left w:val="none" w:sz="0" w:space="0" w:color="auto"/>
                <w:bottom w:val="none" w:sz="0" w:space="0" w:color="auto"/>
                <w:right w:val="none" w:sz="0" w:space="0" w:color="auto"/>
              </w:divBdr>
              <w:divsChild>
                <w:div w:id="1778214780">
                  <w:marLeft w:val="0"/>
                  <w:marRight w:val="0"/>
                  <w:marTop w:val="0"/>
                  <w:marBottom w:val="0"/>
                  <w:divBdr>
                    <w:top w:val="none" w:sz="0" w:space="0" w:color="auto"/>
                    <w:left w:val="none" w:sz="0" w:space="0" w:color="auto"/>
                    <w:bottom w:val="none" w:sz="0" w:space="0" w:color="auto"/>
                    <w:right w:val="none" w:sz="0" w:space="0" w:color="auto"/>
                  </w:divBdr>
                </w:div>
                <w:div w:id="364407021">
                  <w:marLeft w:val="0"/>
                  <w:marRight w:val="0"/>
                  <w:marTop w:val="0"/>
                  <w:marBottom w:val="0"/>
                  <w:divBdr>
                    <w:top w:val="none" w:sz="0" w:space="0" w:color="auto"/>
                    <w:left w:val="none" w:sz="0" w:space="0" w:color="auto"/>
                    <w:bottom w:val="none" w:sz="0" w:space="0" w:color="auto"/>
                    <w:right w:val="none" w:sz="0" w:space="0" w:color="auto"/>
                  </w:divBdr>
                </w:div>
                <w:div w:id="1738361060">
                  <w:marLeft w:val="0"/>
                  <w:marRight w:val="0"/>
                  <w:marTop w:val="0"/>
                  <w:marBottom w:val="0"/>
                  <w:divBdr>
                    <w:top w:val="none" w:sz="0" w:space="0" w:color="auto"/>
                    <w:left w:val="none" w:sz="0" w:space="0" w:color="auto"/>
                    <w:bottom w:val="none" w:sz="0" w:space="0" w:color="auto"/>
                    <w:right w:val="none" w:sz="0" w:space="0" w:color="auto"/>
                  </w:divBdr>
                </w:div>
                <w:div w:id="1942370441">
                  <w:marLeft w:val="0"/>
                  <w:marRight w:val="0"/>
                  <w:marTop w:val="0"/>
                  <w:marBottom w:val="0"/>
                  <w:divBdr>
                    <w:top w:val="none" w:sz="0" w:space="0" w:color="auto"/>
                    <w:left w:val="none" w:sz="0" w:space="0" w:color="auto"/>
                    <w:bottom w:val="none" w:sz="0" w:space="0" w:color="auto"/>
                    <w:right w:val="none" w:sz="0" w:space="0" w:color="auto"/>
                  </w:divBdr>
                </w:div>
                <w:div w:id="1768647568">
                  <w:marLeft w:val="0"/>
                  <w:marRight w:val="0"/>
                  <w:marTop w:val="0"/>
                  <w:marBottom w:val="0"/>
                  <w:divBdr>
                    <w:top w:val="none" w:sz="0" w:space="0" w:color="auto"/>
                    <w:left w:val="none" w:sz="0" w:space="0" w:color="auto"/>
                    <w:bottom w:val="none" w:sz="0" w:space="0" w:color="auto"/>
                    <w:right w:val="none" w:sz="0" w:space="0" w:color="auto"/>
                  </w:divBdr>
                </w:div>
                <w:div w:id="474876406">
                  <w:marLeft w:val="0"/>
                  <w:marRight w:val="0"/>
                  <w:marTop w:val="0"/>
                  <w:marBottom w:val="0"/>
                  <w:divBdr>
                    <w:top w:val="none" w:sz="0" w:space="0" w:color="auto"/>
                    <w:left w:val="none" w:sz="0" w:space="0" w:color="auto"/>
                    <w:bottom w:val="none" w:sz="0" w:space="0" w:color="auto"/>
                    <w:right w:val="none" w:sz="0" w:space="0" w:color="auto"/>
                  </w:divBdr>
                </w:div>
              </w:divsChild>
            </w:div>
            <w:div w:id="394426544">
              <w:marLeft w:val="0"/>
              <w:marRight w:val="0"/>
              <w:marTop w:val="0"/>
              <w:marBottom w:val="0"/>
              <w:divBdr>
                <w:top w:val="none" w:sz="0" w:space="0" w:color="auto"/>
                <w:left w:val="none" w:sz="0" w:space="0" w:color="auto"/>
                <w:bottom w:val="none" w:sz="0" w:space="0" w:color="auto"/>
                <w:right w:val="none" w:sz="0" w:space="0" w:color="auto"/>
              </w:divBdr>
              <w:divsChild>
                <w:div w:id="209848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110282">
          <w:marLeft w:val="0"/>
          <w:marRight w:val="0"/>
          <w:marTop w:val="0"/>
          <w:marBottom w:val="0"/>
          <w:divBdr>
            <w:top w:val="none" w:sz="0" w:space="0" w:color="auto"/>
            <w:left w:val="none" w:sz="0" w:space="0" w:color="auto"/>
            <w:bottom w:val="none" w:sz="0" w:space="0" w:color="auto"/>
            <w:right w:val="none" w:sz="0" w:space="0" w:color="auto"/>
          </w:divBdr>
          <w:divsChild>
            <w:div w:id="440151703">
              <w:marLeft w:val="0"/>
              <w:marRight w:val="0"/>
              <w:marTop w:val="0"/>
              <w:marBottom w:val="0"/>
              <w:divBdr>
                <w:top w:val="none" w:sz="0" w:space="0" w:color="auto"/>
                <w:left w:val="none" w:sz="0" w:space="0" w:color="auto"/>
                <w:bottom w:val="none" w:sz="0" w:space="0" w:color="auto"/>
                <w:right w:val="none" w:sz="0" w:space="0" w:color="auto"/>
              </w:divBdr>
            </w:div>
            <w:div w:id="387919115">
              <w:marLeft w:val="0"/>
              <w:marRight w:val="0"/>
              <w:marTop w:val="0"/>
              <w:marBottom w:val="0"/>
              <w:divBdr>
                <w:top w:val="none" w:sz="0" w:space="0" w:color="auto"/>
                <w:left w:val="none" w:sz="0" w:space="0" w:color="auto"/>
                <w:bottom w:val="none" w:sz="0" w:space="0" w:color="auto"/>
                <w:right w:val="none" w:sz="0" w:space="0" w:color="auto"/>
              </w:divBdr>
              <w:divsChild>
                <w:div w:id="1922173830">
                  <w:marLeft w:val="0"/>
                  <w:marRight w:val="0"/>
                  <w:marTop w:val="0"/>
                  <w:marBottom w:val="0"/>
                  <w:divBdr>
                    <w:top w:val="none" w:sz="0" w:space="0" w:color="auto"/>
                    <w:left w:val="none" w:sz="0" w:space="0" w:color="auto"/>
                    <w:bottom w:val="none" w:sz="0" w:space="0" w:color="auto"/>
                    <w:right w:val="none" w:sz="0" w:space="0" w:color="auto"/>
                  </w:divBdr>
                </w:div>
              </w:divsChild>
            </w:div>
            <w:div w:id="369183870">
              <w:marLeft w:val="0"/>
              <w:marRight w:val="0"/>
              <w:marTop w:val="0"/>
              <w:marBottom w:val="0"/>
              <w:divBdr>
                <w:top w:val="none" w:sz="0" w:space="0" w:color="auto"/>
                <w:left w:val="none" w:sz="0" w:space="0" w:color="auto"/>
                <w:bottom w:val="none" w:sz="0" w:space="0" w:color="auto"/>
                <w:right w:val="none" w:sz="0" w:space="0" w:color="auto"/>
              </w:divBdr>
              <w:divsChild>
                <w:div w:id="585503939">
                  <w:marLeft w:val="0"/>
                  <w:marRight w:val="0"/>
                  <w:marTop w:val="0"/>
                  <w:marBottom w:val="0"/>
                  <w:divBdr>
                    <w:top w:val="none" w:sz="0" w:space="0" w:color="auto"/>
                    <w:left w:val="none" w:sz="0" w:space="0" w:color="auto"/>
                    <w:bottom w:val="none" w:sz="0" w:space="0" w:color="auto"/>
                    <w:right w:val="none" w:sz="0" w:space="0" w:color="auto"/>
                  </w:divBdr>
                </w:div>
              </w:divsChild>
            </w:div>
            <w:div w:id="1859000740">
              <w:marLeft w:val="0"/>
              <w:marRight w:val="0"/>
              <w:marTop w:val="0"/>
              <w:marBottom w:val="0"/>
              <w:divBdr>
                <w:top w:val="none" w:sz="0" w:space="0" w:color="auto"/>
                <w:left w:val="none" w:sz="0" w:space="0" w:color="auto"/>
                <w:bottom w:val="none" w:sz="0" w:space="0" w:color="auto"/>
                <w:right w:val="none" w:sz="0" w:space="0" w:color="auto"/>
              </w:divBdr>
              <w:divsChild>
                <w:div w:id="210725641">
                  <w:marLeft w:val="0"/>
                  <w:marRight w:val="0"/>
                  <w:marTop w:val="0"/>
                  <w:marBottom w:val="0"/>
                  <w:divBdr>
                    <w:top w:val="none" w:sz="0" w:space="0" w:color="auto"/>
                    <w:left w:val="none" w:sz="0" w:space="0" w:color="auto"/>
                    <w:bottom w:val="none" w:sz="0" w:space="0" w:color="auto"/>
                    <w:right w:val="none" w:sz="0" w:space="0" w:color="auto"/>
                  </w:divBdr>
                </w:div>
              </w:divsChild>
            </w:div>
            <w:div w:id="410086072">
              <w:marLeft w:val="0"/>
              <w:marRight w:val="0"/>
              <w:marTop w:val="0"/>
              <w:marBottom w:val="0"/>
              <w:divBdr>
                <w:top w:val="none" w:sz="0" w:space="0" w:color="auto"/>
                <w:left w:val="none" w:sz="0" w:space="0" w:color="auto"/>
                <w:bottom w:val="none" w:sz="0" w:space="0" w:color="auto"/>
                <w:right w:val="none" w:sz="0" w:space="0" w:color="auto"/>
              </w:divBdr>
              <w:divsChild>
                <w:div w:id="1219246188">
                  <w:marLeft w:val="0"/>
                  <w:marRight w:val="0"/>
                  <w:marTop w:val="0"/>
                  <w:marBottom w:val="0"/>
                  <w:divBdr>
                    <w:top w:val="none" w:sz="0" w:space="0" w:color="auto"/>
                    <w:left w:val="none" w:sz="0" w:space="0" w:color="auto"/>
                    <w:bottom w:val="none" w:sz="0" w:space="0" w:color="auto"/>
                    <w:right w:val="none" w:sz="0" w:space="0" w:color="auto"/>
                  </w:divBdr>
                </w:div>
              </w:divsChild>
            </w:div>
            <w:div w:id="15154244">
              <w:marLeft w:val="0"/>
              <w:marRight w:val="0"/>
              <w:marTop w:val="0"/>
              <w:marBottom w:val="0"/>
              <w:divBdr>
                <w:top w:val="none" w:sz="0" w:space="0" w:color="auto"/>
                <w:left w:val="none" w:sz="0" w:space="0" w:color="auto"/>
                <w:bottom w:val="none" w:sz="0" w:space="0" w:color="auto"/>
                <w:right w:val="none" w:sz="0" w:space="0" w:color="auto"/>
              </w:divBdr>
              <w:divsChild>
                <w:div w:id="1153369956">
                  <w:marLeft w:val="0"/>
                  <w:marRight w:val="0"/>
                  <w:marTop w:val="0"/>
                  <w:marBottom w:val="0"/>
                  <w:divBdr>
                    <w:top w:val="none" w:sz="0" w:space="0" w:color="auto"/>
                    <w:left w:val="none" w:sz="0" w:space="0" w:color="auto"/>
                    <w:bottom w:val="none" w:sz="0" w:space="0" w:color="auto"/>
                    <w:right w:val="none" w:sz="0" w:space="0" w:color="auto"/>
                  </w:divBdr>
                </w:div>
              </w:divsChild>
            </w:div>
            <w:div w:id="690649303">
              <w:marLeft w:val="0"/>
              <w:marRight w:val="0"/>
              <w:marTop w:val="0"/>
              <w:marBottom w:val="0"/>
              <w:divBdr>
                <w:top w:val="none" w:sz="0" w:space="0" w:color="auto"/>
                <w:left w:val="none" w:sz="0" w:space="0" w:color="auto"/>
                <w:bottom w:val="none" w:sz="0" w:space="0" w:color="auto"/>
                <w:right w:val="none" w:sz="0" w:space="0" w:color="auto"/>
              </w:divBdr>
              <w:divsChild>
                <w:div w:id="394931728">
                  <w:marLeft w:val="0"/>
                  <w:marRight w:val="0"/>
                  <w:marTop w:val="0"/>
                  <w:marBottom w:val="0"/>
                  <w:divBdr>
                    <w:top w:val="none" w:sz="0" w:space="0" w:color="auto"/>
                    <w:left w:val="none" w:sz="0" w:space="0" w:color="auto"/>
                    <w:bottom w:val="none" w:sz="0" w:space="0" w:color="auto"/>
                    <w:right w:val="none" w:sz="0" w:space="0" w:color="auto"/>
                  </w:divBdr>
                </w:div>
              </w:divsChild>
            </w:div>
            <w:div w:id="1902209175">
              <w:marLeft w:val="0"/>
              <w:marRight w:val="0"/>
              <w:marTop w:val="0"/>
              <w:marBottom w:val="0"/>
              <w:divBdr>
                <w:top w:val="none" w:sz="0" w:space="0" w:color="auto"/>
                <w:left w:val="none" w:sz="0" w:space="0" w:color="auto"/>
                <w:bottom w:val="none" w:sz="0" w:space="0" w:color="auto"/>
                <w:right w:val="none" w:sz="0" w:space="0" w:color="auto"/>
              </w:divBdr>
              <w:divsChild>
                <w:div w:id="196176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40778">
          <w:marLeft w:val="0"/>
          <w:marRight w:val="0"/>
          <w:marTop w:val="0"/>
          <w:marBottom w:val="0"/>
          <w:divBdr>
            <w:top w:val="none" w:sz="0" w:space="0" w:color="auto"/>
            <w:left w:val="none" w:sz="0" w:space="0" w:color="auto"/>
            <w:bottom w:val="none" w:sz="0" w:space="0" w:color="auto"/>
            <w:right w:val="none" w:sz="0" w:space="0" w:color="auto"/>
          </w:divBdr>
          <w:divsChild>
            <w:div w:id="458187473">
              <w:marLeft w:val="0"/>
              <w:marRight w:val="0"/>
              <w:marTop w:val="0"/>
              <w:marBottom w:val="0"/>
              <w:divBdr>
                <w:top w:val="none" w:sz="0" w:space="0" w:color="auto"/>
                <w:left w:val="none" w:sz="0" w:space="0" w:color="auto"/>
                <w:bottom w:val="none" w:sz="0" w:space="0" w:color="auto"/>
                <w:right w:val="none" w:sz="0" w:space="0" w:color="auto"/>
              </w:divBdr>
            </w:div>
            <w:div w:id="1173643753">
              <w:marLeft w:val="0"/>
              <w:marRight w:val="0"/>
              <w:marTop w:val="0"/>
              <w:marBottom w:val="0"/>
              <w:divBdr>
                <w:top w:val="none" w:sz="0" w:space="0" w:color="auto"/>
                <w:left w:val="none" w:sz="0" w:space="0" w:color="auto"/>
                <w:bottom w:val="none" w:sz="0" w:space="0" w:color="auto"/>
                <w:right w:val="none" w:sz="0" w:space="0" w:color="auto"/>
              </w:divBdr>
              <w:divsChild>
                <w:div w:id="367218769">
                  <w:marLeft w:val="0"/>
                  <w:marRight w:val="0"/>
                  <w:marTop w:val="0"/>
                  <w:marBottom w:val="0"/>
                  <w:divBdr>
                    <w:top w:val="none" w:sz="0" w:space="0" w:color="auto"/>
                    <w:left w:val="none" w:sz="0" w:space="0" w:color="auto"/>
                    <w:bottom w:val="none" w:sz="0" w:space="0" w:color="auto"/>
                    <w:right w:val="none" w:sz="0" w:space="0" w:color="auto"/>
                  </w:divBdr>
                </w:div>
              </w:divsChild>
            </w:div>
            <w:div w:id="91126671">
              <w:marLeft w:val="0"/>
              <w:marRight w:val="0"/>
              <w:marTop w:val="0"/>
              <w:marBottom w:val="0"/>
              <w:divBdr>
                <w:top w:val="none" w:sz="0" w:space="0" w:color="auto"/>
                <w:left w:val="none" w:sz="0" w:space="0" w:color="auto"/>
                <w:bottom w:val="none" w:sz="0" w:space="0" w:color="auto"/>
                <w:right w:val="none" w:sz="0" w:space="0" w:color="auto"/>
              </w:divBdr>
              <w:divsChild>
                <w:div w:id="996765130">
                  <w:marLeft w:val="0"/>
                  <w:marRight w:val="0"/>
                  <w:marTop w:val="0"/>
                  <w:marBottom w:val="0"/>
                  <w:divBdr>
                    <w:top w:val="none" w:sz="0" w:space="0" w:color="auto"/>
                    <w:left w:val="none" w:sz="0" w:space="0" w:color="auto"/>
                    <w:bottom w:val="none" w:sz="0" w:space="0" w:color="auto"/>
                    <w:right w:val="none" w:sz="0" w:space="0" w:color="auto"/>
                  </w:divBdr>
                </w:div>
              </w:divsChild>
            </w:div>
            <w:div w:id="1930770162">
              <w:marLeft w:val="0"/>
              <w:marRight w:val="0"/>
              <w:marTop w:val="0"/>
              <w:marBottom w:val="0"/>
              <w:divBdr>
                <w:top w:val="none" w:sz="0" w:space="0" w:color="auto"/>
                <w:left w:val="none" w:sz="0" w:space="0" w:color="auto"/>
                <w:bottom w:val="none" w:sz="0" w:space="0" w:color="auto"/>
                <w:right w:val="none" w:sz="0" w:space="0" w:color="auto"/>
              </w:divBdr>
              <w:divsChild>
                <w:div w:id="1230455959">
                  <w:marLeft w:val="0"/>
                  <w:marRight w:val="0"/>
                  <w:marTop w:val="0"/>
                  <w:marBottom w:val="0"/>
                  <w:divBdr>
                    <w:top w:val="none" w:sz="0" w:space="0" w:color="auto"/>
                    <w:left w:val="none" w:sz="0" w:space="0" w:color="auto"/>
                    <w:bottom w:val="none" w:sz="0" w:space="0" w:color="auto"/>
                    <w:right w:val="none" w:sz="0" w:space="0" w:color="auto"/>
                  </w:divBdr>
                </w:div>
              </w:divsChild>
            </w:div>
            <w:div w:id="353190012">
              <w:marLeft w:val="0"/>
              <w:marRight w:val="0"/>
              <w:marTop w:val="0"/>
              <w:marBottom w:val="0"/>
              <w:divBdr>
                <w:top w:val="none" w:sz="0" w:space="0" w:color="auto"/>
                <w:left w:val="none" w:sz="0" w:space="0" w:color="auto"/>
                <w:bottom w:val="none" w:sz="0" w:space="0" w:color="auto"/>
                <w:right w:val="none" w:sz="0" w:space="0" w:color="auto"/>
              </w:divBdr>
              <w:divsChild>
                <w:div w:id="191770541">
                  <w:marLeft w:val="0"/>
                  <w:marRight w:val="0"/>
                  <w:marTop w:val="0"/>
                  <w:marBottom w:val="0"/>
                  <w:divBdr>
                    <w:top w:val="none" w:sz="0" w:space="0" w:color="auto"/>
                    <w:left w:val="none" w:sz="0" w:space="0" w:color="auto"/>
                    <w:bottom w:val="none" w:sz="0" w:space="0" w:color="auto"/>
                    <w:right w:val="none" w:sz="0" w:space="0" w:color="auto"/>
                  </w:divBdr>
                </w:div>
              </w:divsChild>
            </w:div>
            <w:div w:id="758908562">
              <w:marLeft w:val="0"/>
              <w:marRight w:val="0"/>
              <w:marTop w:val="0"/>
              <w:marBottom w:val="0"/>
              <w:divBdr>
                <w:top w:val="none" w:sz="0" w:space="0" w:color="auto"/>
                <w:left w:val="none" w:sz="0" w:space="0" w:color="auto"/>
                <w:bottom w:val="none" w:sz="0" w:space="0" w:color="auto"/>
                <w:right w:val="none" w:sz="0" w:space="0" w:color="auto"/>
              </w:divBdr>
              <w:divsChild>
                <w:div w:id="1964925410">
                  <w:marLeft w:val="0"/>
                  <w:marRight w:val="0"/>
                  <w:marTop w:val="0"/>
                  <w:marBottom w:val="0"/>
                  <w:divBdr>
                    <w:top w:val="none" w:sz="0" w:space="0" w:color="auto"/>
                    <w:left w:val="none" w:sz="0" w:space="0" w:color="auto"/>
                    <w:bottom w:val="none" w:sz="0" w:space="0" w:color="auto"/>
                    <w:right w:val="none" w:sz="0" w:space="0" w:color="auto"/>
                  </w:divBdr>
                </w:div>
              </w:divsChild>
            </w:div>
            <w:div w:id="378745858">
              <w:marLeft w:val="0"/>
              <w:marRight w:val="0"/>
              <w:marTop w:val="0"/>
              <w:marBottom w:val="0"/>
              <w:divBdr>
                <w:top w:val="none" w:sz="0" w:space="0" w:color="auto"/>
                <w:left w:val="none" w:sz="0" w:space="0" w:color="auto"/>
                <w:bottom w:val="none" w:sz="0" w:space="0" w:color="auto"/>
                <w:right w:val="none" w:sz="0" w:space="0" w:color="auto"/>
              </w:divBdr>
              <w:divsChild>
                <w:div w:id="144932153">
                  <w:marLeft w:val="0"/>
                  <w:marRight w:val="0"/>
                  <w:marTop w:val="0"/>
                  <w:marBottom w:val="0"/>
                  <w:divBdr>
                    <w:top w:val="none" w:sz="0" w:space="0" w:color="auto"/>
                    <w:left w:val="none" w:sz="0" w:space="0" w:color="auto"/>
                    <w:bottom w:val="none" w:sz="0" w:space="0" w:color="auto"/>
                    <w:right w:val="none" w:sz="0" w:space="0" w:color="auto"/>
                  </w:divBdr>
                </w:div>
              </w:divsChild>
            </w:div>
            <w:div w:id="868643816">
              <w:marLeft w:val="0"/>
              <w:marRight w:val="0"/>
              <w:marTop w:val="0"/>
              <w:marBottom w:val="0"/>
              <w:divBdr>
                <w:top w:val="none" w:sz="0" w:space="0" w:color="auto"/>
                <w:left w:val="none" w:sz="0" w:space="0" w:color="auto"/>
                <w:bottom w:val="none" w:sz="0" w:space="0" w:color="auto"/>
                <w:right w:val="none" w:sz="0" w:space="0" w:color="auto"/>
              </w:divBdr>
              <w:divsChild>
                <w:div w:id="960306933">
                  <w:marLeft w:val="0"/>
                  <w:marRight w:val="0"/>
                  <w:marTop w:val="0"/>
                  <w:marBottom w:val="0"/>
                  <w:divBdr>
                    <w:top w:val="none" w:sz="0" w:space="0" w:color="auto"/>
                    <w:left w:val="none" w:sz="0" w:space="0" w:color="auto"/>
                    <w:bottom w:val="none" w:sz="0" w:space="0" w:color="auto"/>
                    <w:right w:val="none" w:sz="0" w:space="0" w:color="auto"/>
                  </w:divBdr>
                </w:div>
              </w:divsChild>
            </w:div>
            <w:div w:id="1473521911">
              <w:marLeft w:val="0"/>
              <w:marRight w:val="0"/>
              <w:marTop w:val="0"/>
              <w:marBottom w:val="0"/>
              <w:divBdr>
                <w:top w:val="none" w:sz="0" w:space="0" w:color="auto"/>
                <w:left w:val="none" w:sz="0" w:space="0" w:color="auto"/>
                <w:bottom w:val="none" w:sz="0" w:space="0" w:color="auto"/>
                <w:right w:val="none" w:sz="0" w:space="0" w:color="auto"/>
              </w:divBdr>
              <w:divsChild>
                <w:div w:id="625351574">
                  <w:marLeft w:val="0"/>
                  <w:marRight w:val="0"/>
                  <w:marTop w:val="0"/>
                  <w:marBottom w:val="0"/>
                  <w:divBdr>
                    <w:top w:val="none" w:sz="0" w:space="0" w:color="auto"/>
                    <w:left w:val="none" w:sz="0" w:space="0" w:color="auto"/>
                    <w:bottom w:val="none" w:sz="0" w:space="0" w:color="auto"/>
                    <w:right w:val="none" w:sz="0" w:space="0" w:color="auto"/>
                  </w:divBdr>
                </w:div>
              </w:divsChild>
            </w:div>
            <w:div w:id="1928806080">
              <w:marLeft w:val="0"/>
              <w:marRight w:val="0"/>
              <w:marTop w:val="0"/>
              <w:marBottom w:val="0"/>
              <w:divBdr>
                <w:top w:val="none" w:sz="0" w:space="0" w:color="auto"/>
                <w:left w:val="none" w:sz="0" w:space="0" w:color="auto"/>
                <w:bottom w:val="none" w:sz="0" w:space="0" w:color="auto"/>
                <w:right w:val="none" w:sz="0" w:space="0" w:color="auto"/>
              </w:divBdr>
              <w:divsChild>
                <w:div w:id="835724233">
                  <w:marLeft w:val="0"/>
                  <w:marRight w:val="0"/>
                  <w:marTop w:val="0"/>
                  <w:marBottom w:val="0"/>
                  <w:divBdr>
                    <w:top w:val="none" w:sz="0" w:space="0" w:color="auto"/>
                    <w:left w:val="none" w:sz="0" w:space="0" w:color="auto"/>
                    <w:bottom w:val="none" w:sz="0" w:space="0" w:color="auto"/>
                    <w:right w:val="none" w:sz="0" w:space="0" w:color="auto"/>
                  </w:divBdr>
                </w:div>
              </w:divsChild>
            </w:div>
            <w:div w:id="2005473021">
              <w:marLeft w:val="0"/>
              <w:marRight w:val="0"/>
              <w:marTop w:val="0"/>
              <w:marBottom w:val="0"/>
              <w:divBdr>
                <w:top w:val="none" w:sz="0" w:space="0" w:color="auto"/>
                <w:left w:val="none" w:sz="0" w:space="0" w:color="auto"/>
                <w:bottom w:val="none" w:sz="0" w:space="0" w:color="auto"/>
                <w:right w:val="none" w:sz="0" w:space="0" w:color="auto"/>
              </w:divBdr>
              <w:divsChild>
                <w:div w:id="1854683273">
                  <w:marLeft w:val="0"/>
                  <w:marRight w:val="0"/>
                  <w:marTop w:val="0"/>
                  <w:marBottom w:val="0"/>
                  <w:divBdr>
                    <w:top w:val="none" w:sz="0" w:space="0" w:color="auto"/>
                    <w:left w:val="none" w:sz="0" w:space="0" w:color="auto"/>
                    <w:bottom w:val="none" w:sz="0" w:space="0" w:color="auto"/>
                    <w:right w:val="none" w:sz="0" w:space="0" w:color="auto"/>
                  </w:divBdr>
                </w:div>
                <w:div w:id="1871607749">
                  <w:marLeft w:val="0"/>
                  <w:marRight w:val="0"/>
                  <w:marTop w:val="0"/>
                  <w:marBottom w:val="0"/>
                  <w:divBdr>
                    <w:top w:val="none" w:sz="0" w:space="0" w:color="auto"/>
                    <w:left w:val="none" w:sz="0" w:space="0" w:color="auto"/>
                    <w:bottom w:val="none" w:sz="0" w:space="0" w:color="auto"/>
                    <w:right w:val="none" w:sz="0" w:space="0" w:color="auto"/>
                  </w:divBdr>
                </w:div>
                <w:div w:id="2121365806">
                  <w:marLeft w:val="0"/>
                  <w:marRight w:val="0"/>
                  <w:marTop w:val="0"/>
                  <w:marBottom w:val="0"/>
                  <w:divBdr>
                    <w:top w:val="none" w:sz="0" w:space="0" w:color="auto"/>
                    <w:left w:val="none" w:sz="0" w:space="0" w:color="auto"/>
                    <w:bottom w:val="none" w:sz="0" w:space="0" w:color="auto"/>
                    <w:right w:val="none" w:sz="0" w:space="0" w:color="auto"/>
                  </w:divBdr>
                </w:div>
                <w:div w:id="144011338">
                  <w:marLeft w:val="0"/>
                  <w:marRight w:val="0"/>
                  <w:marTop w:val="0"/>
                  <w:marBottom w:val="0"/>
                  <w:divBdr>
                    <w:top w:val="none" w:sz="0" w:space="0" w:color="auto"/>
                    <w:left w:val="none" w:sz="0" w:space="0" w:color="auto"/>
                    <w:bottom w:val="none" w:sz="0" w:space="0" w:color="auto"/>
                    <w:right w:val="none" w:sz="0" w:space="0" w:color="auto"/>
                  </w:divBdr>
                </w:div>
                <w:div w:id="2147039053">
                  <w:marLeft w:val="0"/>
                  <w:marRight w:val="0"/>
                  <w:marTop w:val="0"/>
                  <w:marBottom w:val="0"/>
                  <w:divBdr>
                    <w:top w:val="none" w:sz="0" w:space="0" w:color="auto"/>
                    <w:left w:val="none" w:sz="0" w:space="0" w:color="auto"/>
                    <w:bottom w:val="none" w:sz="0" w:space="0" w:color="auto"/>
                    <w:right w:val="none" w:sz="0" w:space="0" w:color="auto"/>
                  </w:divBdr>
                </w:div>
                <w:div w:id="536702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974178">
      <w:bodyDiv w:val="1"/>
      <w:marLeft w:val="0"/>
      <w:marRight w:val="0"/>
      <w:marTop w:val="0"/>
      <w:marBottom w:val="0"/>
      <w:divBdr>
        <w:top w:val="none" w:sz="0" w:space="0" w:color="auto"/>
        <w:left w:val="none" w:sz="0" w:space="0" w:color="auto"/>
        <w:bottom w:val="none" w:sz="0" w:space="0" w:color="auto"/>
        <w:right w:val="none" w:sz="0" w:space="0" w:color="auto"/>
      </w:divBdr>
      <w:divsChild>
        <w:div w:id="2016229216">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2478</Words>
  <Characters>14128</Characters>
  <Application>Microsoft Office Word</Application>
  <DocSecurity>0</DocSecurity>
  <Lines>117</Lines>
  <Paragraphs>33</Paragraphs>
  <ScaleCrop>false</ScaleCrop>
  <Company/>
  <LinksUpToDate>false</LinksUpToDate>
  <CharactersWithSpaces>16573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2025-11-24T04:41:00Z</dcterms:created>
  <dcterms:modified xsi:type="dcterms:W3CDTF">2025-11-24T04:44:00Z</dcterms:modified>
</cp:coreProperties>
</file>