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C59" w:rsidRPr="00267C59" w:rsidRDefault="00267C59" w:rsidP="00267C59">
      <w:pPr>
        <w:shd w:val="clear" w:color="auto" w:fill="FFFFFF"/>
        <w:spacing w:before="100" w:beforeAutospacing="1" w:after="100" w:afterAutospacing="1" w:line="240" w:lineRule="auto"/>
        <w:jc w:val="center"/>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b/>
          <w:bCs/>
          <w:color w:val="0A0A0A"/>
          <w:sz w:val="24"/>
          <w:szCs w:val="24"/>
          <w:lang w:eastAsia="ru-RU"/>
        </w:rPr>
        <w:t>Правила составления налоговой отчетности «Декларация по налогу на сверхприбыль (форма 540.00)»</w:t>
      </w:r>
    </w:p>
    <w:p w:rsidR="00267C59" w:rsidRPr="00267C59" w:rsidRDefault="00267C59" w:rsidP="00267C59">
      <w:pPr>
        <w:shd w:val="clear" w:color="auto" w:fill="FFFFFF"/>
        <w:spacing w:before="100" w:beforeAutospacing="1" w:after="100" w:afterAutospacing="1" w:line="240" w:lineRule="auto"/>
        <w:jc w:val="center"/>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b/>
          <w:bCs/>
          <w:color w:val="0A0A0A"/>
          <w:sz w:val="24"/>
          <w:szCs w:val="24"/>
          <w:lang w:eastAsia="ru-RU"/>
        </w:rPr>
        <w:t>Глава 1.Общие положения</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Настоящие Правила составления налоговой отчетности «Декларация по налогу на сверхприбыль (форма 540.00)» (далее – Правила) разра</w:t>
      </w:r>
      <w:bookmarkStart w:id="0" w:name="_GoBack"/>
      <w:bookmarkEnd w:id="0"/>
      <w:r w:rsidRPr="00267C59">
        <w:rPr>
          <w:rFonts w:ascii="Times New Roman" w:eastAsia="Times New Roman" w:hAnsi="Times New Roman" w:cs="Times New Roman"/>
          <w:color w:val="0A0A0A"/>
          <w:sz w:val="24"/>
          <w:szCs w:val="24"/>
          <w:lang w:eastAsia="ru-RU"/>
        </w:rPr>
        <w:t xml:space="preserve">ботаны в соответствии с Кодексом Республики Казахстан от 25 декабря 2017 года «О налогах и других обязательных платежах в бюджет» (далее – Налоговый кодекс) и определяют порядок составления формы налоговой отчетности «Декларация по налогу на сверхприбыль» (далее – декларация), предназначенной для исчисления налога на сверхприбыль. Декларация составляется </w:t>
      </w:r>
      <w:proofErr w:type="spellStart"/>
      <w:r w:rsidRPr="00267C59">
        <w:rPr>
          <w:rFonts w:ascii="Times New Roman" w:eastAsia="Times New Roman" w:hAnsi="Times New Roman" w:cs="Times New Roman"/>
          <w:color w:val="0A0A0A"/>
          <w:sz w:val="24"/>
          <w:szCs w:val="24"/>
          <w:lang w:eastAsia="ru-RU"/>
        </w:rPr>
        <w:t>недропользователями</w:t>
      </w:r>
      <w:proofErr w:type="spellEnd"/>
      <w:r w:rsidRPr="00267C59">
        <w:rPr>
          <w:rFonts w:ascii="Times New Roman" w:eastAsia="Times New Roman" w:hAnsi="Times New Roman" w:cs="Times New Roman"/>
          <w:color w:val="0A0A0A"/>
          <w:sz w:val="24"/>
          <w:szCs w:val="24"/>
          <w:lang w:eastAsia="ru-RU"/>
        </w:rPr>
        <w:t xml:space="preserve"> по каждому отдельному контракту на недропользование, за исключением осуществляющих деятельность по соглашениям (контрактам) о разделе продукции, контрактам на разведку и (или) добычу твердых полезных ископаемых, подземных вод и (или) лечебных грязей при условии, что данные контракты не предусматривают добычу других групп полезных ископаемых, а также по контрактам на строительство и эксплуатацию подземных сооружений, не связанных с разведкой и добычей.</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При заполнении декларации не допускаются исправления, подчистки и помарки.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3. При отсутствии показателей соответствующие ячейки декларации не заполняются.</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4. Отрицательные значения сумм обозначаются знаком «–» в первой левой ячейке соответствующей строки декларации.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5. При составлении декларации: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в электронной форме – заполняется в соответствии со статьей 208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6. 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7. При представлении декларации: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в явочном порядке на бумажном носителе – составляется в двух экземплярах, один экземпляр возвращается плательщику с отметкой фамилии, имени и отчества (при его наличии) и подписью работника органа государственных доходов, принявшего декларацию и оттиском печати (штампа);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по почте заказным письмом с уведомлением на бумажном носителе – налогоплательщик (налоговый агент) получает уведомление почтовой или иной организации связи;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lastRenderedPageBreak/>
        <w:t>3) 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w:t>
      </w:r>
    </w:p>
    <w:p w:rsidR="00267C59" w:rsidRPr="00267C59" w:rsidRDefault="00267C59" w:rsidP="00267C59">
      <w:pPr>
        <w:shd w:val="clear" w:color="auto" w:fill="FFFFFF"/>
        <w:spacing w:before="100" w:beforeAutospacing="1" w:after="100" w:afterAutospacing="1" w:line="240" w:lineRule="auto"/>
        <w:jc w:val="center"/>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b/>
          <w:bCs/>
          <w:color w:val="0A0A0A"/>
          <w:sz w:val="24"/>
          <w:szCs w:val="24"/>
          <w:lang w:eastAsia="ru-RU"/>
        </w:rPr>
        <w:t>Глава 2. Пояснение по заполнению декларации (форма 540.00)</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8. Форма 540.00 предназначена для отражения сумм налога на сверхприбыль, подлежащего уплате за отчетный налоговый период, по каждому отдельному контракту на недропользование.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9. В разделе «Общая информация о налогоплательщике» налогоплательщик указывает следующие данные: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индивидуальный идентификационный номер (бизнес-идентификационный номер) (далее – ИИН (БИН)) налогоплательщика. При исполнении налогового обязательства доверительным управляющим в строке указывается ИИН (БИН) доверительного управляющего;</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налоговый период, за который представляется налоговая отчетность – отчетный налоговый период, за который представляется декларация (указывается арабскими цифрами);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3) Фамилия, имя, отчество (при его наличии) физического лица или наименование юридического лица в соответствии с учредительными документами.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При исполнении налогового обязательства доверительным управляющим в строке указывается наименование юридического лица-доверительного управляющего в соответствии с учредительными документами;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4) вид декларации.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Соответствующие ячейки отмечаются с учетом отнесения декларации к виду налоговой отчетности, указанным в статье 206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5) номер и дата уведомления.</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Ячейки заполняются в случае представления вида декларации, предусмотренной подпунктом 4) пункта 3 статьи 206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6) код валюты в соответствии с приложением 23 «Классификатор валют», утвержденным решением Комиссии Таможенного союза от 20 сентября 2010 года № 378 «О классификаторах, используемых для заполнения таможенных деклараций»;</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7) наименование контракта и месторождения;</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8) дата заключения контракта на недропользование с уполномоченным государственным органом;</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9) номер контракта – регистрационный номер контракта на недропользование, присвоенный уполномоченным государственным органом;</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lastRenderedPageBreak/>
        <w:t>10) нерезидент.</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Отмечается в случае представления декларации нерезидентом.</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10. В разделе «Исчисление налога на сверхприбыль по контракту на недропользование»: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в строке 540.00.001 указывается сумма валового годового дохода по контракту на недропользование, по которому производится исчисление налога на сверхприбыль, в порядке, установленном Налоговым кодексом;</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в строке 540.00.002 указывается сумма дохода от реализации, выбытия, передачи активов, не подлежащих амортизации, определенная в соответствии с Налоговым кодексом в целях исчисления налога на сверхприбыль;</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3) в строке 540.00.003 указывается сумма доходов и других сумм, корректирующих в соответствии со статьей 258 Налогового кодекса расходы, которые образуют отдельную группу амортизируемых активов согласно статье 258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4) в строке 540.00.004 указывается сумма дохода от реализации, выбытии, передачи фиксированных активов, определенная в соответствии с Налоговым кодексом в целях исчисления налога на сверхприбыль;</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5) в строке 540.00.005 указывается сумма корректировки валового годового дохода в соответствии с Законом Республики Казахстан от 5 июля 2008 года «О трансфертном ценообразовании» (далее – Закон о трансфертном ценообразовании);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6) в строке 540.00.006 указывается сумма валового годового дохода с учетом корректировки в соответствии с Законом о трансфертном ценообразовании, определяемая как сумма строк 540.00.001 и 540.00.005 (540.00.001 + 540.00.005);</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7) в строке 540.00.007 указывается сумма, подлежащая отнесению на вычеты в соответствии с подпунктом 1) пункта 1 статьи 758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8) в строке 540.00.008 указывается сумма, подлежащая отнесению на вычеты в соответствии с подпунктом 2) пункта 1 статьи 758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9) в строке 540.00.009 указывается сумма единовременного вычета, подлежащая отнесению на вычеты согласно пункту 2 статьи 758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10) в строке 540.00.010 указывается сумма всех вычетов для целей налога на сверхприбыль, определяемая как сумма строк 540.00.007, 540.00.008 и 540.00.009 (540.00.007 + 540.00.008 + 540.00.009);</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11) в строке 540.00.011 указывается сумма корректировки вычетов в целях исчисления налога на сверхприбыль в соответствии с Законом о трансфертном ценообразовании;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12) в строке 540.00.012 указывается сумма всех вычетов для целей налога на сверхприбыль с учетом корректировки в соответствии с Законом о трансфертном ценообразовании, определяемая как сумма строк 540.00.010 и 540.00.011;</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lastRenderedPageBreak/>
        <w:t>13) в строке 540.00.013 указывается сумма налогооблагаемого дохода, исчисленного согласно статьи 756 Налогового кодекса, определяемого как разница строк 540.00.006 и 540.00.012 (540.00.006 – 540.00.012);</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14) в строке 540.00.014 указывается сумма превышения вычетов для целей исчисления налога на сверхприбыль над суммой валового годового дохода за налоговый период, переносимое из предыдущих налоговых периодов согласно пункту 2 статьи 756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15) в строке 540.00.015 указывается сумма налогооблагаемого дохода с учетом перенесенного из предыдущих налоговых периодов превышения вычетов для целей исчисления налога на сверхприбыль над суммой валового годового дохода за налоговый период, определяемая как разница строк 540.00.013 и 540.00.014 (540.00.013 – 540.00.014);</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16) в строке 540.00.016 указывается превышение вычетов для целей исчисления налога на сверхприбыль над суммой валового годового дохода за налоговый период, подлежащая переносу на последующие налоговые периоды. Данная строка заполняется при отрицательном значении 540.00.015 и подлежит заполнению в модульном значении;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17) в строке 540.00.017 указывается сумма корпоративного подоходного налога по контрактной деятельности по контракту на недропользование согласно статье 759 Налогового кодекса, по которому производится исчисление налога на сверхприбыль;</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18) в строке 540.00.018 указывается сумма налога на чистый доход, возникающего по чистому доходу по контрактной деятельности согласно статье 760 Налогового кодекса. Заполняется нерезидентом, осуществляющим контрактную деятельность по недропользованию через постоянное учреждение;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19) в строке 540.00.019 указывается сумма чистого дохода, фактически полученного за налоговый период, определяемая как строка 540.00.015 минус строка 540.00.017 и минус строка 540.00.018 (540.00.015 – 540.00.017 – 540.00.018);</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20) в строке 540.00.020 указывается 25-ти процентная сумма вычетов, которая определяется как произведение строки 540.00.012 и 25 процентов (540.00.012 х 25%);</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 xml:space="preserve">21) в строке 540.00.021 налоговая база налога на сверхприбыль, рассчитываемая как часть чистого дохода </w:t>
      </w:r>
      <w:proofErr w:type="spellStart"/>
      <w:r w:rsidRPr="00267C59">
        <w:rPr>
          <w:rFonts w:ascii="Times New Roman" w:eastAsia="Times New Roman" w:hAnsi="Times New Roman" w:cs="Times New Roman"/>
          <w:color w:val="0A0A0A"/>
          <w:sz w:val="24"/>
          <w:szCs w:val="24"/>
          <w:lang w:eastAsia="ru-RU"/>
        </w:rPr>
        <w:t>недропользователя</w:t>
      </w:r>
      <w:proofErr w:type="spellEnd"/>
      <w:r w:rsidRPr="00267C59">
        <w:rPr>
          <w:rFonts w:ascii="Times New Roman" w:eastAsia="Times New Roman" w:hAnsi="Times New Roman" w:cs="Times New Roman"/>
          <w:color w:val="0A0A0A"/>
          <w:sz w:val="24"/>
          <w:szCs w:val="24"/>
          <w:lang w:eastAsia="ru-RU"/>
        </w:rPr>
        <w:t>, превышающая 25 процентов от суммы вычетов, которая определяется как разница строк 540.00.019 и 540.00.020 (540.00.019– 540.00.020). Если разница строк имеет отрицательное значение, то указывается значение равное нулю;</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22) в строке 540.00.022 указывается расчет суммы налога на сверхприбыль по уровням, в том числе: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540.00.022 А указаны уровни;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540.00.022 В приведены верхние границы значений отношения совокупного годового дохода к вычетам;</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540.00.022 С указываются вычеты для целей налога на сверхприбыль согласно статье 758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lastRenderedPageBreak/>
        <w:t>в</w:t>
      </w:r>
      <w:proofErr w:type="gramEnd"/>
      <w:r w:rsidRPr="00267C59">
        <w:rPr>
          <w:rFonts w:ascii="Times New Roman" w:eastAsia="Times New Roman" w:hAnsi="Times New Roman" w:cs="Times New Roman"/>
          <w:color w:val="0A0A0A"/>
          <w:sz w:val="24"/>
          <w:szCs w:val="24"/>
          <w:lang w:eastAsia="ru-RU"/>
        </w:rPr>
        <w:t xml:space="preserve"> графе 540.00.021 D указываются предельные суммы распределения чистого дохода для целей налога на сверхприбыль по каждому уровню, установленному статьей 761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540.00.021 E указывается распределенный фактический чистый доход, предусмотренный статьей 761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540.00.022 F приведены ставки налога в процентах, в соответствии со статьей 351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proofErr w:type="gramStart"/>
      <w:r w:rsidRPr="00267C59">
        <w:rPr>
          <w:rFonts w:ascii="Times New Roman" w:eastAsia="Times New Roman" w:hAnsi="Times New Roman" w:cs="Times New Roman"/>
          <w:color w:val="0A0A0A"/>
          <w:sz w:val="24"/>
          <w:szCs w:val="24"/>
          <w:lang w:eastAsia="ru-RU"/>
        </w:rPr>
        <w:t>в</w:t>
      </w:r>
      <w:proofErr w:type="gramEnd"/>
      <w:r w:rsidRPr="00267C59">
        <w:rPr>
          <w:rFonts w:ascii="Times New Roman" w:eastAsia="Times New Roman" w:hAnsi="Times New Roman" w:cs="Times New Roman"/>
          <w:color w:val="0A0A0A"/>
          <w:sz w:val="24"/>
          <w:szCs w:val="24"/>
          <w:lang w:eastAsia="ru-RU"/>
        </w:rPr>
        <w:t xml:space="preserve"> графе 540.00.022 G указывается исчисленная сумма налога на сверхприбыль, которая определяется построчно как произведение каждой строки в графе 540.00.022 Е на соответствующую ставку в графе 540.00.022 F;</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23) в строке 540.00.023 указывается исчисленная сумма налога на сверхприбыль, подлежащая уплате, которая определяется как сумма строк графы 540.00.022 G.</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11. В разделе «Ответственность налогоплательщика» налогоплательщик указывает следующие данные:</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1) в поле «Фамилия, имя, отчество (при его наличии) Налогоплательщика».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При представлении декларации юридическим лицом указываются фамилия, имя, отчество (при его наличии) руководителя в соответствии с учредительными документами.</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При представлении декларации физическим лицом данные заполняются в соответствии с документами, удостоверяющими личность физического лица;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2) дата подачи декларации – дата представления декларации в орган государственных доходов;</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3) код органа государственных доходов – код органа государственных доходов по месту нахождения налогоплательщика;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4) в поле «Фамилия, имя, отчество (при его наличии) должностного лица, принявшего декларацию» указываются фамилия, имя, отчество (при его наличии) работника органа государственных доходов, принявшего декларацию;</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5) дата приема декларации – дата представления декларации в соответствии с пунктом 2 статьи 209 Налогового кодекса;</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6) входящий номер декларации – регистрационный номер декларации, присваиваемый органом государственных доходов;</w:t>
      </w:r>
    </w:p>
    <w:p w:rsidR="00267C59" w:rsidRPr="00267C59" w:rsidRDefault="00267C59" w:rsidP="00267C59">
      <w:pPr>
        <w:shd w:val="clear" w:color="auto" w:fill="FFFFFF"/>
        <w:spacing w:before="100" w:beforeAutospacing="1" w:after="100" w:afterAutospacing="1" w:line="240" w:lineRule="auto"/>
        <w:rPr>
          <w:rFonts w:ascii="Times New Roman" w:eastAsia="Times New Roman" w:hAnsi="Times New Roman" w:cs="Times New Roman"/>
          <w:color w:val="0A0A0A"/>
          <w:sz w:val="24"/>
          <w:szCs w:val="24"/>
          <w:lang w:eastAsia="ru-RU"/>
        </w:rPr>
      </w:pPr>
      <w:r w:rsidRPr="00267C59">
        <w:rPr>
          <w:rFonts w:ascii="Times New Roman" w:eastAsia="Times New Roman" w:hAnsi="Times New Roman" w:cs="Times New Roman"/>
          <w:color w:val="0A0A0A"/>
          <w:sz w:val="24"/>
          <w:szCs w:val="24"/>
          <w:lang w:eastAsia="ru-RU"/>
        </w:rPr>
        <w:t>7) дата почтового штемпеля – дата почтового штемпеля, проставленного почтовой или иной организацией связи.</w:t>
      </w:r>
    </w:p>
    <w:p w:rsidR="00B83EFB" w:rsidRPr="00267C59" w:rsidRDefault="00267C59" w:rsidP="00267C59">
      <w:pPr>
        <w:rPr>
          <w:rFonts w:ascii="Times New Roman" w:hAnsi="Times New Roman" w:cs="Times New Roman"/>
          <w:sz w:val="24"/>
          <w:szCs w:val="24"/>
        </w:rPr>
      </w:pPr>
      <w:r w:rsidRPr="00267C59">
        <w:rPr>
          <w:rFonts w:ascii="Times New Roman" w:eastAsia="Times New Roman" w:hAnsi="Times New Roman" w:cs="Times New Roman"/>
          <w:color w:val="0A0A0A"/>
          <w:sz w:val="24"/>
          <w:szCs w:val="24"/>
          <w:shd w:val="clear" w:color="auto" w:fill="FFFFFF"/>
          <w:lang w:eastAsia="ru-RU"/>
        </w:rPr>
        <w:t>Подпункты 4), 5), 6) и 7) настоящего пункта заполняются работником органа государственных доходов, принявшим декларацию на бумажном носителе.</w:t>
      </w:r>
    </w:p>
    <w:sectPr w:rsidR="00B83EFB" w:rsidRPr="00267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72"/>
    <w:rsid w:val="00267C59"/>
    <w:rsid w:val="00B83EFB"/>
    <w:rsid w:val="00E84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F33AB-4A4A-4FAE-9C9A-AA2BEE68E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7C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4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1768</Words>
  <Characters>10084</Characters>
  <Application>Microsoft Office Word</Application>
  <DocSecurity>0</DocSecurity>
  <Lines>84</Lines>
  <Paragraphs>23</Paragraphs>
  <ScaleCrop>false</ScaleCrop>
  <Company>SPecialiST RePack</Company>
  <LinksUpToDate>false</LinksUpToDate>
  <CharactersWithSpaces>11829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Байжанов</dc:creator>
  <cp:keywords/>
  <dc:description/>
  <cp:lastModifiedBy>Алмас Байжанов</cp:lastModifiedBy>
  <cp:revision>2</cp:revision>
  <dcterms:created xsi:type="dcterms:W3CDTF">2020-05-26T03:23:00Z</dcterms:created>
  <dcterms:modified xsi:type="dcterms:W3CDTF">2020-05-26T03:24:00Z</dcterms:modified>
</cp:coreProperties>
</file>