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B27" w:rsidRPr="00387B27" w:rsidRDefault="00387B27" w:rsidP="00387B27">
      <w:pPr>
        <w:pStyle w:val="4"/>
        <w:shd w:val="clear" w:color="auto" w:fill="FFFFFF"/>
        <w:jc w:val="center"/>
        <w:rPr>
          <w:rFonts w:ascii="Times New Roman" w:hAnsi="Times New Roman" w:cs="Times New Roman"/>
          <w:b/>
          <w:i w:val="0"/>
          <w:color w:val="0A0A0A"/>
          <w:sz w:val="24"/>
          <w:szCs w:val="24"/>
        </w:rPr>
      </w:pPr>
      <w:r w:rsidRPr="00387B27">
        <w:rPr>
          <w:rFonts w:ascii="Times New Roman" w:hAnsi="Times New Roman" w:cs="Times New Roman"/>
          <w:b/>
          <w:bCs/>
          <w:i w:val="0"/>
          <w:color w:val="0A0A0A"/>
          <w:sz w:val="24"/>
          <w:szCs w:val="24"/>
        </w:rPr>
        <w:t>П</w:t>
      </w:r>
      <w:bookmarkStart w:id="0" w:name="_GoBack"/>
      <w:bookmarkEnd w:id="0"/>
      <w:r w:rsidRPr="00387B27">
        <w:rPr>
          <w:rFonts w:ascii="Times New Roman" w:hAnsi="Times New Roman" w:cs="Times New Roman"/>
          <w:b/>
          <w:bCs/>
          <w:i w:val="0"/>
          <w:color w:val="0A0A0A"/>
          <w:sz w:val="24"/>
          <w:szCs w:val="24"/>
        </w:rPr>
        <w:t>равила составления форм налоговых регистров</w:t>
      </w:r>
    </w:p>
    <w:p w:rsidR="00387B27" w:rsidRPr="00387B27" w:rsidRDefault="00387B27" w:rsidP="00387B27">
      <w:pPr>
        <w:pStyle w:val="5"/>
        <w:shd w:val="clear" w:color="auto" w:fill="FFFFFF"/>
        <w:jc w:val="center"/>
        <w:rPr>
          <w:bCs w:val="0"/>
          <w:color w:val="0A0A0A"/>
          <w:sz w:val="24"/>
          <w:szCs w:val="24"/>
        </w:rPr>
      </w:pPr>
      <w:r w:rsidRPr="00387B27">
        <w:rPr>
          <w:bCs w:val="0"/>
          <w:color w:val="0A0A0A"/>
          <w:sz w:val="24"/>
          <w:szCs w:val="24"/>
        </w:rPr>
        <w:t>Глава 1. Общие положения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других обязательных платежах в бюджет» (Налоговый кодекс) и определяют порядок составления форм налоговых регистров.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4. В налоговом регистре указываются общие сведения о налогоплательщике: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2) фамилия, имя и отчество (при его наличии) или наименование налогоплательщика;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3) налоговый период, за который составляется форма налогового регистра;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7) дата составления налогового регистра.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5. Отрицательные значения сумм обозначаются знаком минус «-» в соответствующей строке определенной графы.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387B27" w:rsidRPr="00387B27" w:rsidRDefault="00387B27" w:rsidP="00387B27">
      <w:pPr>
        <w:pStyle w:val="a3"/>
        <w:shd w:val="clear" w:color="auto" w:fill="FFFFFF"/>
        <w:jc w:val="both"/>
        <w:rPr>
          <w:color w:val="0A0A0A"/>
        </w:rPr>
      </w:pPr>
      <w:r w:rsidRPr="00387B27">
        <w:rPr>
          <w:color w:val="0A0A0A"/>
        </w:rPr>
        <w:t>7. При отсутствии показателей соответствующие ячейки налогового регистра не заполняются.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lastRenderedPageBreak/>
        <w:t>Глава 21. Порядок составление формы налогового регистра для индивидуальных предпринимателей, применяющих специальный налоговый режим с использованием фиксированного вычета, по учету доходов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108. Форма налогового регистра предназначена для отражения операций по учету доходов индивидуальными предпринимателями, указанными в пункте 10 статьи 215 Налогового кодекса.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109. В таблице «Учет операций по доходам индивидуальных предпринимателей, применяющих специальный налоговый режим с использованием фиксированного вычета» указываются: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в графе 1 - порядковый номер строки;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в графе 2 - дата получения дохода или осуществления корректировки дохода;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в графе 3 - сумма полученного дохода за день;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в графе 4 - размер корректировки дохода за день, произведенной в соответствии со статьей 691 Налогового кодекса;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Итоговая величина граф 3 и 4 заполняется в хронологическом порядке с подведением итогов на конец рабочего дня. В конце месяца, налогового периода подводятся итоговые данные за месяц, налоговый период.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110. Внесение изменения и (или) дополнения в налоговый регистр производится в случае осуществления корректировки ранее признанного дохода в соответствии со статьей 691 Налогового кодекса (при наличии первичных учетных документов) и при допущении ошибок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 этом в случае осуществления корректировки дохода в том налоговом периоде, в котором наступили случаи, указанные в статье 691 Налогового кодекса, дополнительный налоговый регистр не составляется.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111. Внесение изменения и (или) дополнения в налоговый регистр в случае осуществления корректировки дохода в соответствии со статьей 691 Налогового кодекса в том налоговом периоде, в котором ранее был признан подлежащий корректировке доход, производится в следующем порядке: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в графах 1 и 2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дополнительного налогового регистра указываются реквизиты граф 1 и 2 таблицы «Учет операций по доходам индивидуальных предпринимателей, применяющих специальный налоговый режим с использованием фиксированного вычета»;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 этом реквизиты выявленной разницы указываются до последней даты полного исправления.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112. 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1) в случае обнаружения ошибок в графах 1 и 2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в дополнительном налоговом регистре указываются соответствующие исправленные реквизиты. При этом в случае, если допущена ошибка в одной или нескольких графах, в дополнительном налоговом регистре отражаются реквизиты по всем указанным графам;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в случае обнаружения ошибки в графах 3 и 4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и графах 2, 3 и 4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налогового регистра: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</w:t>
      </w:r>
      <w:proofErr w:type="gramEnd"/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графах 1 и 2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дополнительного налогового регистра указываются реквизиты графы 1 и 2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налогового регистра;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proofErr w:type="gramStart"/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в</w:t>
      </w:r>
      <w:proofErr w:type="gramEnd"/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 xml:space="preserve"> графах 3 и 4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дополнительной формы налогового регистра указывается сумма выявленной разницы по сравнению с суммами, отраженными в графах 3 и 4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налогового регистра;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При внесении изменений, направленных на уменьшение значения граф 3 и 4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налогового регистра, сумма выявленной разницы в графах 3 и 4 таблицы «Учет операций по доходам индивидуальных предпринимателей, применяющих специальный налоговый режим с использованием фиксированного вычета» дополнительного налогового регистра указывается со знаком минус «-»;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в случае дополнительного внесения в налоговый регистр за указанный налоговый период дополнительный налоговый регистр составляется в соответствии с пунктом 109 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 за период, в который вносятся дополнения.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113.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114. К дополнительному налоговому регистру прилагается письменное обоснование, которое подписывается лицами, составившими дополнительную форму налогового регистра, и заверяется печатью (при ее наличии) налогоплательщика, с указанием: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причины внесения изменений и (или) дополнений в налоговый регистр;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ИИН/БИН контрагента;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lastRenderedPageBreak/>
        <w:t>3) номера строки налогового регистра, в который вносятся изменения;</w:t>
      </w:r>
    </w:p>
    <w:p w:rsidR="00387B27" w:rsidRPr="00387B27" w:rsidRDefault="00387B27" w:rsidP="00387B2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387B27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даты составления письменного обоснования.</w:t>
      </w:r>
    </w:p>
    <w:p w:rsidR="00466E04" w:rsidRPr="00387B27" w:rsidRDefault="00466E04" w:rsidP="00387B2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66E04" w:rsidRPr="00387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2AB"/>
    <w:rsid w:val="00387B27"/>
    <w:rsid w:val="00466E04"/>
    <w:rsid w:val="00B05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0FE57-008C-45C1-9FC0-A6BD20BD7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7B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link w:val="50"/>
    <w:uiPriority w:val="9"/>
    <w:qFormat/>
    <w:rsid w:val="00387B2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387B2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j135">
    <w:name w:val="j135"/>
    <w:basedOn w:val="a"/>
    <w:rsid w:val="0038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87B2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a3">
    <w:name w:val="Normal (Web)"/>
    <w:basedOn w:val="a"/>
    <w:uiPriority w:val="99"/>
    <w:semiHidden/>
    <w:unhideWhenUsed/>
    <w:rsid w:val="00387B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0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3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1171</Words>
  <Characters>6680</Characters>
  <Application>Microsoft Office Word</Application>
  <DocSecurity>0</DocSecurity>
  <Lines>55</Lines>
  <Paragraphs>15</Paragraphs>
  <ScaleCrop>false</ScaleCrop>
  <Company>SPecialiST RePack</Company>
  <LinksUpToDate>false</LinksUpToDate>
  <CharactersWithSpaces>7836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2020-03-03T09:38:00Z</dcterms:created>
  <dcterms:modified xsi:type="dcterms:W3CDTF">2020-03-03T09:42:00Z</dcterms:modified>
</cp:coreProperties>
</file>