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57A66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44F1A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14:paraId="677563CF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1D82E45A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января 2020 года № 39</w:t>
      </w:r>
    </w:p>
    <w:p w14:paraId="417F169B" w14:textId="77777777" w:rsidR="002C1B74" w:rsidRPr="0079537D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92FDD8" w14:textId="77777777" w:rsidR="002C1B74" w:rsidRPr="0079537D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211085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Правила составления налоговой отчетности </w:t>
      </w:r>
      <w:r w:rsidR="00142457"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Декларация для налогоплательщиков, применяющих специальный налоговый режим с использованием фиксированного вычета (форма 912.00)</w:t>
      </w:r>
      <w:r w:rsidR="00142457"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483C258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C35F8B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352C77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21F7AA53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4DE48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Настоящие Правила составления налоговой отчетности 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Декларация для налогоплательщиков, применяющих специальный налоговый режим с использованием фиксированного вычета (форма 912.00)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Правила) разработаны в соответствии с Кодексом Республики Казахстан от 25 декабря 2017 года 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других обязательных платежах в бюджет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35A2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(Налоговый кодекс) и определяют порядок составления формы налоговой отчетности 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Декларация для налогоплательщиков, применяющих специальный налоговый режим с использованием фиксированного вычета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35A2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Декларация). Декларация составляется индивидуальными предпринимателями и юридическими лицами-резидентами.</w:t>
      </w:r>
    </w:p>
    <w:p w14:paraId="0844051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Декларация состоит из самой декларации (форма 912.00), приложений к ней (формы с 912.01 по 912.02), предназначенных для детального отражения информации об исчислении налогового обязательства.</w:t>
      </w:r>
    </w:p>
    <w:p w14:paraId="348480E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заполнении декларации не допускаются исправления, подчистки и помарки.</w:t>
      </w:r>
    </w:p>
    <w:p w14:paraId="5A52CCB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 отсутствии показателей соответствующие ячейки декларации не заполняются.</w:t>
      </w:r>
    </w:p>
    <w:p w14:paraId="3583EF9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218BDB7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0D6F02A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76C590C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настоящих Правилах применяются следующие арифметические знаки: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плюс,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минус,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умножение,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деление,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равно.</w:t>
      </w:r>
    </w:p>
    <w:p w14:paraId="144F8FB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Отрицательные значения сумм обозначаются знаком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первой левой ячейке соответствующей строки (графы) декларации.</w:t>
      </w:r>
    </w:p>
    <w:p w14:paraId="4B49112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 При составлении декларации:</w:t>
      </w:r>
    </w:p>
    <w:p w14:paraId="4D2415C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C6462D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32317D8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2FA92AD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представлении декларации:</w:t>
      </w:r>
    </w:p>
    <w:p w14:paraId="07DE281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0B3EE7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41D0205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6875DD5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разделах 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 налогоплательщике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приложений к декларации указываются соответствующие данные, отраженные в разделе 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 налогоплательщике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декларации.</w:t>
      </w:r>
    </w:p>
    <w:p w14:paraId="0CB9E2E6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42482D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D7D025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Пояснение по заполнению декларации (форма 912.00)</w:t>
      </w:r>
    </w:p>
    <w:p w14:paraId="19590791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83FD4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 налогоплательщике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 указывает следующие данные:</w:t>
      </w:r>
    </w:p>
    <w:p w14:paraId="6D9837B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индивидуальный идентификационный номер (бизнес- идентификационный) номер (далее – ИИН (БИН)) налогоплательщика;</w:t>
      </w:r>
    </w:p>
    <w:p w14:paraId="039EB77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Фамилия, имя, отчество (при его наличии) или наименование налогоплательщика – фамилия, имя, отчество (при его наличии) или наименование юридического лица в соответствии с учредительными документами или индивидуального предпринимателя;</w:t>
      </w:r>
    </w:p>
    <w:p w14:paraId="7AF1CC8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налоговый период, за который представляется налоговая отчетность (год) – отчетный налоговый период, за который представляется декларация (указывается арабскими цифрами);</w:t>
      </w:r>
    </w:p>
    <w:p w14:paraId="293FADD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организационно-правовая форма налогоплательщика;</w:t>
      </w:r>
    </w:p>
    <w:p w14:paraId="0AFCA21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вид декларации.</w:t>
      </w:r>
    </w:p>
    <w:p w14:paraId="18E4154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0111A12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номер и дата уведомления.</w:t>
      </w:r>
    </w:p>
    <w:p w14:paraId="1C605D3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37E5C19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код валюты в соответствии с приложением 23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Классификатор валют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Комиссии Т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аможенного союза от 20 сентября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года № 378 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классификаторах, используемых для заполнения таможенных деклараций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 КТС № 378);</w:t>
      </w:r>
    </w:p>
    <w:p w14:paraId="0441317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8) количество представленных приложений в соответствующей ячейке.</w:t>
      </w:r>
    </w:p>
    <w:p w14:paraId="54143FD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 годовой доход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7E29E4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912.00.001 указывается сумма дохода от реализации, определяемая в соответствии со статьями 690 и 691 Налогового кодекса;</w:t>
      </w:r>
    </w:p>
    <w:p w14:paraId="3BDF154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912.00.002 указывается сумма дохода от прироста стоимости</w:t>
      </w:r>
      <w:r w:rsidR="00375DE1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юридических лиц)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4159C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912.00.003 указывается сумма прочих доходов налогоплательщика, включаемых в совокупный годовой доход в соответствии с Налоговым кодексом;</w:t>
      </w:r>
    </w:p>
    <w:p w14:paraId="7E1E1E9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строке 912.00.004 указывается общая сумма совокупного годового дохода. Определяется как 912.00.001 + 912.00.002 + 912.00.003.</w:t>
      </w:r>
    </w:p>
    <w:p w14:paraId="6487F43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Вычеты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EB019A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 1) в строке 912.00.005 указывается себестоимость реализованных (использованных) товаров относимые на вычеты в соответствии с подпунктом 1) пункта 2 статьи 692 Налогового кодекса. Определяется как 912.00.005 I – 912.00.005 II + 912.00.005 III + 912.00.005 IV + 912.00.005 V – 912.00.005 VI – 912.00.005 VII;</w:t>
      </w:r>
    </w:p>
    <w:p w14:paraId="54D5D0D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I указывается балансовая стоимость товаров на начало налогового периода. Указанная строка заполняется согласно данным, определенным по бухгалтерскому балансу на начало налогового периода.</w:t>
      </w:r>
    </w:p>
    <w:p w14:paraId="29B8F35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налогоплательщика, представляющего свою первоначальную декларацию, товары на начало налогового периода могут отсутствовать;</w:t>
      </w:r>
    </w:p>
    <w:p w14:paraId="375CFFE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912.00.005 II заполняется согласно данным бухгалтерского баланса на конец налогового периода. В ликвидационной декларации, представляемой налогоплательщиком в течение налогового периода, строка 912.00.005 II заполняется на основании данных ликвидационного баланса;</w:t>
      </w:r>
    </w:p>
    <w:p w14:paraId="05D298A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III указывается стоимость поступивших в течение налогового периода товаров,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</w:t>
      </w:r>
    </w:p>
    <w:p w14:paraId="7B367CE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IV указывается сумма расходов по начисленным доходам работников и иным выплатам физическим лицам, относимые на вычеты;</w:t>
      </w:r>
    </w:p>
    <w:p w14:paraId="7461B18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912.00.005 V указываются стоимость работ и услуг, себестоимость ТМЗ, которые были признаны расходами будущих периодов в предыдущих налоговых периодах и относятся на вычеты в отчетном налоговом периоде;</w:t>
      </w:r>
    </w:p>
    <w:p w14:paraId="62E3A61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VI указываются стоимость работ и услуг, себестоимость ТМЗ, которые были признаны в отчетном налоговом периоде расходами будущих периодов и подлежат отнесению на вычеты в последующие налоговые периоды;</w:t>
      </w:r>
    </w:p>
    <w:p w14:paraId="526870F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VII указываются расходы на приобретение товаров, не относимые на вычеты;</w:t>
      </w:r>
    </w:p>
    <w:p w14:paraId="0BC18F31" w14:textId="77777777" w:rsidR="00B71896" w:rsidRPr="0079537D" w:rsidRDefault="00B71896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</w:t>
      </w:r>
      <w:r w:rsidR="007B761E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</w:t>
      </w:r>
      <w:r w:rsidR="00F47C36" w:rsidRPr="0079537D">
        <w:rPr>
          <w:rFonts w:ascii="Times New Roman" w:hAnsi="Times New Roman" w:cs="Times New Roman"/>
          <w:sz w:val="28"/>
          <w:szCs w:val="28"/>
        </w:rPr>
        <w:t xml:space="preserve">расходы на оплату коммунальных услуг 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5) пункта 2 статьи 692 Налогового кодекса;</w:t>
      </w:r>
    </w:p>
    <w:p w14:paraId="1B9F02C6" w14:textId="77777777" w:rsidR="00B71896" w:rsidRPr="0079537D" w:rsidRDefault="00B71896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</w:t>
      </w:r>
      <w:r w:rsidR="007B761E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расходы на арендную плату в соответствии с подпунктом 6) пункта 2 статьи 692 Налогового кодекса;</w:t>
      </w:r>
    </w:p>
    <w:p w14:paraId="3E3A33B5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912.00.00</w:t>
      </w:r>
      <w:r w:rsidR="00B7189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компенсаций при служебных командировках, в соответствии с подпунктом 4) пункта 2 статьи 692 Налогового кодекса;</w:t>
      </w:r>
    </w:p>
    <w:p w14:paraId="59DE6F0F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912.00.00</w:t>
      </w:r>
      <w:r w:rsidR="00B7189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вычета по налогам и другим обязательным платежам в бюджет в соответствии с подпунктом 3</w:t>
      </w:r>
      <w:r w:rsidR="00A25855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 статьи 692 Налогового кодекса;</w:t>
      </w:r>
    </w:p>
    <w:p w14:paraId="45577727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</w:t>
      </w:r>
      <w:r w:rsidR="00B7189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налоговых вычетов индивидуального предпринимателя, в соответствии со статьей 342 Налогового кодекса, если он не применил их как физическое лицо, в том числе у налогового агента;</w:t>
      </w:r>
    </w:p>
    <w:p w14:paraId="4782F1C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указывается налоговый вычет в виде обязательных пенсионных взносов – в размере, установленном законодательством Республики Казахстан о пенсионном обеспечении;</w:t>
      </w:r>
    </w:p>
    <w:p w14:paraId="05832F2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указывается налоговый вычет по взносам на обязательное социальное медицинское страхование;</w:t>
      </w:r>
    </w:p>
    <w:p w14:paraId="14B3967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указываются стандартные налоговые вычеты, предусмотренные статьей 346 Налогового кодекса;</w:t>
      </w:r>
    </w:p>
    <w:p w14:paraId="489F799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указывается налоговый вычет для многодетных семей;</w:t>
      </w:r>
    </w:p>
    <w:p w14:paraId="290972F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 указываются прочие налоговые вычеты, которые включают в себя: налоговый вычет по добровольным пенсионным взносам, налоговый вычет на обучение, налоговый вычет на медицину, налоговый вычет по вознаграждениям;</w:t>
      </w:r>
    </w:p>
    <w:p w14:paraId="6A8B91DE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общая сумма вычетов, без учета фиксированных вычетов, определенная как сумма строк с 912.00.005 по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67D754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удельный вес вычетов из совокупного годового дохода (%), определяемый по формуле: (912.00.0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Start"/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proofErr w:type="gramEnd"/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912.00.004 + 912.00.01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I)) х 100;</w:t>
      </w:r>
    </w:p>
    <w:p w14:paraId="35BC77A6" w14:textId="77777777" w:rsidR="006D1707" w:rsidRPr="0079537D" w:rsidRDefault="009C7BED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9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% фиксированного вычета, в пределах установленных статьей 693 Налогового кодекса;</w:t>
      </w:r>
    </w:p>
    <w:p w14:paraId="1A46F5BF" w14:textId="77777777" w:rsidR="006D1707" w:rsidRPr="0079537D" w:rsidRDefault="009C7BED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фиксированного вычета определяемая по формуле: ((912.00.004 + 912.00.01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I) х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)/100);</w:t>
      </w:r>
    </w:p>
    <w:p w14:paraId="2F4E5D14" w14:textId="77777777" w:rsidR="006D1707" w:rsidRPr="0079537D" w:rsidRDefault="009C7BED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общая сумма вычетов, с учетом фиксированных вычетов (912.00.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C55A70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доходов и вычетов в соответствии с Налоговым кодексом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CF66EF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корректировок доходов и вычетов, определяемая в соответствии со статьей 691 Налогового кодекса. Определяется как разница строк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и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(912.00.01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–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II);</w:t>
      </w:r>
    </w:p>
    <w:p w14:paraId="050B0FD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указывается сумма корректировки доходов, определяемая в соответствии со статьей 691 Налогового кодекса;</w:t>
      </w:r>
    </w:p>
    <w:p w14:paraId="146C2B8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указывается сумма корректировки вычетов, определяемая в соответствии с пунктом 7 статьи 692 Налогового кодекса.</w:t>
      </w:r>
    </w:p>
    <w:p w14:paraId="14CE0A1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В разделе 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налогооблагаемого дохода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F661BD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налогооблагаемый доход (убыток). Определяется как 912.00.004 –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46571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уменьшения налогооблагаемого дохода в соответствии со статьей 694 Налогового кодекса;</w:t>
      </w:r>
    </w:p>
    <w:p w14:paraId="6487638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налогооблагаемый доход с учетом уменьшения, исчисленного в соответствии со статьей 694 Налогового кодекса. Определяется как разница строк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случае, если строка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строки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ноль.</w:t>
      </w:r>
    </w:p>
    <w:p w14:paraId="3902BE1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налогового обязательства для юридических лиц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423B3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ставка корпоративного подоходного налога (далее – КПН) в соответствии со статьей 313 Налогового кодекса в процентах. В случае, если налогоплательщик использует одновременно ставки в размере 20 и 10 процентов, то строка 912.00.0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заполняется;</w:t>
      </w:r>
    </w:p>
    <w:p w14:paraId="3CE75B5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КПН с налогооблагаемого дохода. Определяется как произведение строк 912.00.01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(912.00.01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случае, если налогоплательщик использует одновременно ставки в размере 20 и 10 процентов, то в строке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КПН, определенная на основе данных раздельного налогового учета;</w:t>
      </w:r>
    </w:p>
    <w:p w14:paraId="12A7093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исчисленного КПН за налоговый период в соответствии со статьей 695 Налогового кодекса. Определя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как разница строк 912.00.021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,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I,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II,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и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(912.00.0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IV). Если полученная разница меньше ноля, то 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ноль:</w:t>
      </w:r>
    </w:p>
    <w:p w14:paraId="2D1883A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налогоплательщиком–резидентом из источников за пределами Республики Казахстан, которая зачитывается при уплате КПН в Республике Казахстан в соответствии со статьей 303 Налогового кодекса;</w:t>
      </w:r>
    </w:p>
    <w:p w14:paraId="20806CC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указывается сумма КПН,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КПН, подлежащего уплате в бюджет;</w:t>
      </w:r>
    </w:p>
    <w:p w14:paraId="79D8C09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указывается сумма КПН, удержанного у источника выплаты с дохода в виде вознаграждения, дивидендов, и перенесенная из предыдущих налоговых периодов в соответствии с пунктом 3 статьи 302 Налогового кодекса;</w:t>
      </w:r>
    </w:p>
    <w:p w14:paraId="0B62301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указывается сумма КПН, удержанного в налоговом периоде у источника выплаты с дохода в виде вознаграждения, дивидендов, которая в соответствии с пунктом 2 статьи 302 Налогового кодекса уменьшает сумму КПН, подлежащего уплате в бюджет.</w:t>
      </w:r>
    </w:p>
    <w:p w14:paraId="50DB88F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В разделе 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налогового обязательства для индивидуальных предпринимателей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121744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ставка индивидуального подоходного налога (далее – ИПН) в соответствии с пунктом 1 статьи 320 Налогового кодекса в процентах;</w:t>
      </w:r>
    </w:p>
    <w:p w14:paraId="4B774CE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исчисленного ИПН за налоговый период в соответствии со статьей 696 Налогового кодекса. Определяется как произведение строк 912.00.01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(912.00.01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3ACEADE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910.00.02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БИН аппарата акимов городов районного значения, сел, поселков, сельских округов по месту нахождения индивидуального предпринимателя.</w:t>
      </w:r>
    </w:p>
    <w:p w14:paraId="25F1A12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41BF234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налогоплательщика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CB99F7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поле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(при его наличии) налогоплательщика (Руководителя)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фамилия, имя, отчество (при его наличии) налогоплательщика (руководителя);</w:t>
      </w:r>
    </w:p>
    <w:p w14:paraId="5828041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1232522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код органа государственных доходов – код органа государственных доходов по месту регистрации налогоплательщика;</w:t>
      </w:r>
    </w:p>
    <w:p w14:paraId="2F8693E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в поле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(при его наличии) должностного лица, принявшего декларацию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фамилия, имя, отчество (при его наличии) работника органа государственных доходов, принявшего декларацию;</w:t>
      </w:r>
    </w:p>
    <w:p w14:paraId="58E5212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дата приема декларации – дата представления декларации в соответствии с пунктом 2 статьи 209 Налогового кодекса;</w:t>
      </w:r>
    </w:p>
    <w:p w14:paraId="6935579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3E6D285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7CB0B90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22B79A03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C35C9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851EA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Пояснение по заполнению формы 912.01 – Расходы налогоплательщиков, не являющихся плательщиками </w:t>
      </w:r>
      <w:r w:rsidR="000B43FC"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налога на добавленную стоимость</w:t>
      </w: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 реализованным товарам</w:t>
      </w:r>
    </w:p>
    <w:p w14:paraId="6EFB3514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302D8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22. Данная форма заполняется лицами, не являющимися плательщиками налога на добавленную стоимость. В форме отражаются сведения по приобретенным товарам.</w:t>
      </w:r>
    </w:p>
    <w:p w14:paraId="714ECE2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746DC7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графе А указывается порядковый номер строки;</w:t>
      </w:r>
    </w:p>
    <w:p w14:paraId="7485CE9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графе B указывается ИИН (БИН) налогоплательщика-контрагента;</w:t>
      </w:r>
    </w:p>
    <w:p w14:paraId="4C52C08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графе C указывается код страны резидентства нерезидента-контрагента. При заполнении кода страны используется кодировка стран в соответствии с приложением 22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Классификатор стран мира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КТС № 378;</w:t>
      </w:r>
    </w:p>
    <w:p w14:paraId="1DB1073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графе D указывается номер налоговой регистрации нерезидента- контрагента в стране резидентства. Графа заполняется при отражении в графе С кода страны резидентства;</w:t>
      </w:r>
    </w:p>
    <w:p w14:paraId="2B6F5CD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графе E указывается стоимость приобретенных товаров.</w:t>
      </w:r>
    </w:p>
    <w:p w14:paraId="6A4A82D8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A7C46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E612C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4. Пояснение по заполнению формы 912.02 - Об объектах налогообложения и (или) объектах, связанных с налогообложением, по исчислению </w:t>
      </w:r>
      <w:r w:rsidR="00317FE4" w:rsidRPr="00795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корпоративного подоходного налога</w:t>
      </w: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видам деятельности, по которым предусмотрено ведение раздельного учета (форма 912.02)</w:t>
      </w:r>
    </w:p>
    <w:p w14:paraId="5672A35C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F1DA1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Данная форма предназначена для отражения информации об объектах налогообложения и (или) объектах, связанных с налогообложением, по исчислению КПН по видам деятельности, в отношении которых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предусмотрены разные ставки в соответствии с пунктами 1 и 2 статьи 313 Налогового кодекса.</w:t>
      </w:r>
    </w:p>
    <w:p w14:paraId="07494E4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данной формы осуществляется:</w:t>
      </w:r>
    </w:p>
    <w:p w14:paraId="224C8EB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отдельно по каждому признаку видов деятельности;</w:t>
      </w:r>
    </w:p>
    <w:p w14:paraId="6E0B368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осуществления деятельности по договору доверительного управления, в соответствии с которым на доверительного управляющего возложены обязательства по исчислению, уплате и представлению налоговой отчетности по КПН – отдельно по налоговому обязательству доверительного управляющего по договору доверительного управления и по налоговому обязательству учредителя доверительного управления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договору доверительного управления.</w:t>
      </w:r>
    </w:p>
    <w:p w14:paraId="3F36C5A9" w14:textId="77777777" w:rsidR="00782C60" w:rsidRPr="0079537D" w:rsidRDefault="000902EA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налогоплательщик заполняет не более двух экземпляров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формы 912.02.</w:t>
      </w:r>
    </w:p>
    <w:p w14:paraId="3349B34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3 отмечается ячейка, соответствующая видам деятельности, по которым предусмотрены разные ставки:</w:t>
      </w:r>
    </w:p>
    <w:p w14:paraId="2D70285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1 – виды деятельности, на которые распространяется специальный налоговый режим в соответствии со</w:t>
      </w:r>
    </w:p>
    <w:p w14:paraId="42C8D1F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690, 691, 692, 693, 694, 695 и 696 Налогового кодекса с исчислением КПН по ставке, предусмотренной пунктом 1 статьи 313 Налогового кодекса;</w:t>
      </w:r>
    </w:p>
    <w:p w14:paraId="2D2B152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2 – виды деятельности, на которые распространяется специальный налоговый режим в соответствии со статьями 690, 691, 692, 693, 694, 695 и 696 Налогового кодекса с исчислением КПН по ставке, предусмотренной пунктом 2 статьи 313 Налогового кодекса.</w:t>
      </w:r>
    </w:p>
    <w:p w14:paraId="68D7EDC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В разделе </w:t>
      </w:r>
      <w:r w:rsidR="003E656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="003E656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ECAFA3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912.02.001 указывается совокупный годовой доход;</w:t>
      </w:r>
    </w:p>
    <w:p w14:paraId="0BEDC58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912.02.001 I указывается доход от реализации, определяемый в соответствии со статьями 690 и 691 Налогового кодекса;</w:t>
      </w:r>
    </w:p>
    <w:p w14:paraId="3BC0AD8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912.02.002 указывается общая сумма вычетов, без учета фиксированных вычетов;</w:t>
      </w:r>
    </w:p>
    <w:p w14:paraId="69CEF9A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912.02.002 I указывается себестоимость реализованных (использованных) товаров относимые на вычеты в соответствии с подпунктом 1) пункта 2 статьи 692 Налогового кодекса;</w:t>
      </w:r>
    </w:p>
    <w:p w14:paraId="444D3A9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912.02.003 указывается удельный вес вычетов из совокупного годового дохода (%) определяемая по формуле: (912.02.002</w:t>
      </w:r>
      <w:proofErr w:type="gramStart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proofErr w:type="gramEnd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912.02.001 + 912.02.007 I)) х 100);</w:t>
      </w:r>
    </w:p>
    <w:p w14:paraId="61CC828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строке 912.02.004 указывается % фиксированного вычета, в пределах установленных статьей 693 Налогового кодекса;</w:t>
      </w:r>
    </w:p>
    <w:p w14:paraId="7DB925B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строке 912.02.005 указывается </w:t>
      </w:r>
      <w:proofErr w:type="gramStart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фиксированного вычета</w:t>
      </w:r>
      <w:proofErr w:type="gramEnd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определяемая по формуле: ((912.02.001 + 912.02.007 I) х 912.02.004)/100).</w:t>
      </w:r>
    </w:p>
    <w:p w14:paraId="42E832F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общая сумма расходов, относимых на вычеты, при применении фиксированного вычета, по формам 912.02, не должна превышать 70 процентов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суммы общего совокупного годового дохода с учетом корректировок, предусмотренных пунктом 4 статьи 691 Налогового Кодекса.</w:t>
      </w:r>
    </w:p>
    <w:p w14:paraId="60F93AE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примеру,</w:t>
      </w:r>
    </w:p>
    <w:p w14:paraId="54566B3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виду деятельности, на которые распространяется специальный налоговый режим в соответствии со статьями 690, 691, 692, 693, 694, 695 и 696 Налогового кодекса с исчислением КПН по ставке, предусмотренной пунктом 1 статьи 313 Налогового кодекса:</w:t>
      </w:r>
    </w:p>
    <w:p w14:paraId="125C040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годовой доход с учетом корректировок, предусмотренных пунктом 4 статьи 691 Налогового Кодекса – 40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тенге;</w:t>
      </w:r>
    </w:p>
    <w:p w14:paraId="6F12913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вычетов – 30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 (75 % от совокупного годового дохода);</w:t>
      </w:r>
    </w:p>
    <w:p w14:paraId="36592E8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фиксированный вычет не применяется.</w:t>
      </w:r>
    </w:p>
    <w:p w14:paraId="165A417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виду деятельности, на которые распространяется специальный налоговый режим в соответствии со статьями 690, 691, 692, 693, 694, 695 и 696 Налогового кодекса с исчислением КПН по ставке, предусмотренной пунктом 2 статьи 313 Налогового кодекса:</w:t>
      </w:r>
    </w:p>
    <w:p w14:paraId="1F8E3EF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годовой доход с учетом корректировок, предусмотренных пунктом 4 статьи 691 Налогового Кодекса – 60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тенге;</w:t>
      </w:r>
    </w:p>
    <w:p w14:paraId="2F1216D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вычетов – 30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 (50 % от совокупного годового дохода);</w:t>
      </w:r>
    </w:p>
    <w:p w14:paraId="64032E2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сумма фиксированного вычета составит не более 1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 (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годовой доход с учетом корректировок должен быть не более 70 % от совокупного годового дохода (60 миллионов тенге*70 % = 42 миллиона тенге). Фиксированный вычет % = </w:t>
      </w:r>
      <w:r w:rsidR="005A1D0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миллиона тенге </w:t>
      </w:r>
      <w:r w:rsidR="005A1D0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миллионов </w:t>
      </w:r>
      <w:proofErr w:type="gramStart"/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тенге)*</w:t>
      </w:r>
      <w:proofErr w:type="gramEnd"/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100/60 миллионов тенге = 20 %, сумма фиксированного вычета = 60 миллионов тенге*20 % = 12 миллионов тенге)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0DF47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строке 912.02.006 указывается общая сумма вычетов, с учетом фиксированных вычетов (912.02.002+912.02.005);</w:t>
      </w:r>
    </w:p>
    <w:p w14:paraId="57686DD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строке 912.02.007 указывается сумма корректировок доходов и вычетов, определяемая в соответствии со статьей 691 Налогового кодекса. Определяется как разница строк 912.02.007 I и 912.02.007 II (912.02.007 I – 912.02.007 II):</w:t>
      </w:r>
    </w:p>
    <w:p w14:paraId="5C49DD0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912.02.007 I указывается сумма корректировки доходов, определяемая в соответствии со статьей 691 Налогового кодекса;</w:t>
      </w:r>
    </w:p>
    <w:p w14:paraId="18B1BAF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912.02.007 II указывается сумма корректировки вычетов, определяемая в соответствии с пунктом 7 статьи 692 Налогового кодекса;</w:t>
      </w:r>
    </w:p>
    <w:p w14:paraId="755EC35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строке 912.02.008 указывается налогооблагаемый доход (убыток). Определяется как 912.02.001 – 912.02.006 + 912.02.007;</w:t>
      </w:r>
    </w:p>
    <w:p w14:paraId="4F78B52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9) в строке 912.02.009 указывается сумма уменьшения налогооблагаемого дохода в соответствии со статьей 694 Налогового кодекса;</w:t>
      </w:r>
    </w:p>
    <w:p w14:paraId="64C9624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в строке 912.02.010 указывается налогооблагаемый доход с учетом уменьшения, исчисленного в соответствии со статьей 694 Налогового кодекса. Определяется как разница строк 912.02.008 и 912.02.009 (912.02.008 –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912.02.009). В случае, если строка 912.02.009 больше строки 912.02.008, в строке 912.02.010 указывается ноль;</w:t>
      </w:r>
    </w:p>
    <w:p w14:paraId="1CCBBC2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строке 912.02.011 указывается ставка КПН в соответствии со статьей 313 Налогового кодекса в процентах;</w:t>
      </w:r>
    </w:p>
    <w:p w14:paraId="4EFDB16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 строке 912.02.012 указывается сумма КПН с налогооблагаемого дохода. Определяется как произведение строк 912.02.010 и 912.02.011 (912.02.010 x 912.02.011);</w:t>
      </w:r>
    </w:p>
    <w:p w14:paraId="758CA89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13) в строке 912.02.013 указывается сумма исчисленного КПН за налоговый период в соответствии со статьей 695 Налогового кодекса. Определяется как разница строк 912.02.012, 912.02.013 I, 912.02.013 II, 912.02.013 III и 912.02.013 IV (912.02.012 – 912.02.013 I – 912.02.013 II – 912.02.013 III – 912.02.013 IV). Если полученная разница меньше ноля, то в строке 912.02.013 указывается ноль:</w:t>
      </w:r>
    </w:p>
    <w:p w14:paraId="302BBA3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КПН в Республике Казахстан в соответствии со статьей 303 Налогового кодекса;</w:t>
      </w:r>
    </w:p>
    <w:p w14:paraId="1892927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II указывается сумма КПН,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КПН, подлежащего уплате в бюджет;</w:t>
      </w:r>
    </w:p>
    <w:p w14:paraId="4A0A911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III указывается сумма КПН, удержанного у источника выплаты с дохода в виде вознаграждения, дивидендов, и перенесенная из предыдущих налоговых периодов в соответствии с пунктом 3 статьи 302 Налогового кодекса;</w:t>
      </w:r>
    </w:p>
    <w:p w14:paraId="126CE45E" w14:textId="77777777" w:rsidR="008A7B2A" w:rsidRPr="00142457" w:rsidRDefault="006D1707" w:rsidP="0014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IV указывается сумма КПН, удержанного в налоговом периоде у источника выплаты с дохода в виде вознаграждения, дивидендов, которая в соответствии с пунктом 2 статьи 302 Налогового кодекса уменьшает сумму КПН, подлежащего уплате в бюджет.</w:t>
      </w:r>
    </w:p>
    <w:sectPr w:rsidR="008A7B2A" w:rsidRPr="00142457" w:rsidSect="0079537D">
      <w:headerReference w:type="default" r:id="rId6"/>
      <w:footerReference w:type="default" r:id="rId7"/>
      <w:footerReference w:type="first" r:id="rId8"/>
      <w:pgSz w:w="11906" w:h="16838"/>
      <w:pgMar w:top="1418" w:right="851" w:bottom="1418" w:left="1418" w:header="709" w:footer="709" w:gutter="0"/>
      <w:pgNumType w:start="39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837A5" w14:textId="77777777" w:rsidR="0068793E" w:rsidRDefault="0068793E" w:rsidP="00CF5F5E">
      <w:pPr>
        <w:spacing w:after="0" w:line="240" w:lineRule="auto"/>
      </w:pPr>
      <w:r>
        <w:separator/>
      </w:r>
    </w:p>
  </w:endnote>
  <w:endnote w:type="continuationSeparator" w:id="0">
    <w:p w14:paraId="2A1AA395" w14:textId="77777777" w:rsidR="0068793E" w:rsidRDefault="0068793E" w:rsidP="00CF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80249" w14:textId="77777777" w:rsidR="003B4767" w:rsidRDefault="003B4767">
    <w:pPr>
      <w:spacing w:after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20C73" w14:textId="77777777" w:rsidR="003B4767" w:rsidRDefault="003B4767">
    <w:pPr>
      <w:spacing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07CB3" w14:textId="77777777" w:rsidR="0068793E" w:rsidRDefault="0068793E" w:rsidP="00CF5F5E">
      <w:pPr>
        <w:spacing w:after="0" w:line="240" w:lineRule="auto"/>
      </w:pPr>
      <w:r>
        <w:separator/>
      </w:r>
    </w:p>
  </w:footnote>
  <w:footnote w:type="continuationSeparator" w:id="0">
    <w:p w14:paraId="592AA188" w14:textId="77777777" w:rsidR="0068793E" w:rsidRDefault="0068793E" w:rsidP="00CF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63200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9614D2" w14:textId="77777777" w:rsidR="00CF5F5E" w:rsidRPr="00CF5F5E" w:rsidRDefault="00CF5F5E" w:rsidP="00CF5F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5F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5F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5F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5C7">
          <w:rPr>
            <w:rFonts w:ascii="Times New Roman" w:hAnsi="Times New Roman" w:cs="Times New Roman"/>
            <w:noProof/>
            <w:sz w:val="28"/>
            <w:szCs w:val="28"/>
          </w:rPr>
          <w:t>408</w:t>
        </w:r>
        <w:r w:rsidRPr="00CF5F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9A9815F" w14:textId="77777777" w:rsidR="00CF5F5E" w:rsidRDefault="00CF5F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707"/>
    <w:rsid w:val="000902EA"/>
    <w:rsid w:val="000B43FC"/>
    <w:rsid w:val="000B5008"/>
    <w:rsid w:val="000C1730"/>
    <w:rsid w:val="000C4D64"/>
    <w:rsid w:val="000E6B84"/>
    <w:rsid w:val="00142457"/>
    <w:rsid w:val="00175A92"/>
    <w:rsid w:val="001B7826"/>
    <w:rsid w:val="001C5009"/>
    <w:rsid w:val="00266534"/>
    <w:rsid w:val="00281D48"/>
    <w:rsid w:val="002C1B74"/>
    <w:rsid w:val="002F4CC5"/>
    <w:rsid w:val="00300E2A"/>
    <w:rsid w:val="00317FE4"/>
    <w:rsid w:val="003419D1"/>
    <w:rsid w:val="00375DE1"/>
    <w:rsid w:val="0039325B"/>
    <w:rsid w:val="003B4767"/>
    <w:rsid w:val="003E6562"/>
    <w:rsid w:val="00410724"/>
    <w:rsid w:val="00533826"/>
    <w:rsid w:val="00544F1A"/>
    <w:rsid w:val="005A1D0B"/>
    <w:rsid w:val="005A589F"/>
    <w:rsid w:val="005F4C29"/>
    <w:rsid w:val="00612FBA"/>
    <w:rsid w:val="0068793E"/>
    <w:rsid w:val="006D1707"/>
    <w:rsid w:val="00735A22"/>
    <w:rsid w:val="00782C60"/>
    <w:rsid w:val="0079537D"/>
    <w:rsid w:val="007B761E"/>
    <w:rsid w:val="007D3B74"/>
    <w:rsid w:val="008A7B2A"/>
    <w:rsid w:val="008B28BE"/>
    <w:rsid w:val="008C6261"/>
    <w:rsid w:val="008D2BB1"/>
    <w:rsid w:val="00920BFF"/>
    <w:rsid w:val="00953423"/>
    <w:rsid w:val="00996ADB"/>
    <w:rsid w:val="009C7BED"/>
    <w:rsid w:val="009D78AF"/>
    <w:rsid w:val="00A05836"/>
    <w:rsid w:val="00A25855"/>
    <w:rsid w:val="00A365B6"/>
    <w:rsid w:val="00A45967"/>
    <w:rsid w:val="00AA02BA"/>
    <w:rsid w:val="00AD4238"/>
    <w:rsid w:val="00AE54E8"/>
    <w:rsid w:val="00AE5F37"/>
    <w:rsid w:val="00B10DAA"/>
    <w:rsid w:val="00B5253F"/>
    <w:rsid w:val="00B71896"/>
    <w:rsid w:val="00BC40B2"/>
    <w:rsid w:val="00BE719C"/>
    <w:rsid w:val="00C503E2"/>
    <w:rsid w:val="00C678F0"/>
    <w:rsid w:val="00CB41F3"/>
    <w:rsid w:val="00CF5F5E"/>
    <w:rsid w:val="00CF62A6"/>
    <w:rsid w:val="00D40A46"/>
    <w:rsid w:val="00D82256"/>
    <w:rsid w:val="00D85198"/>
    <w:rsid w:val="00DD1AD6"/>
    <w:rsid w:val="00DE0D8E"/>
    <w:rsid w:val="00DE4C5A"/>
    <w:rsid w:val="00E32BC2"/>
    <w:rsid w:val="00E555A2"/>
    <w:rsid w:val="00E92784"/>
    <w:rsid w:val="00EC6DD5"/>
    <w:rsid w:val="00ED5987"/>
    <w:rsid w:val="00F02A69"/>
    <w:rsid w:val="00F47C36"/>
    <w:rsid w:val="00F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39A4A"/>
  <w15:docId w15:val="{ACD1FE62-2DE9-4AF1-B4F1-450305F1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17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17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F5E"/>
  </w:style>
  <w:style w:type="paragraph" w:styleId="a6">
    <w:name w:val="footer"/>
    <w:basedOn w:val="a"/>
    <w:link w:val="a7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F5E"/>
  </w:style>
  <w:style w:type="table" w:styleId="a8">
    <w:name w:val="Table Grid"/>
    <w:basedOn w:val="a1"/>
    <w:uiPriority w:val="59"/>
    <w:rsid w:val="0095342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3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3438</Words>
  <Characters>19598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Meruert</cp:lastModifiedBy>
  <cp:revision>4</cp:revision>
  <dcterms:created xsi:type="dcterms:W3CDTF">2020-12-20T05:29:00Z</dcterms:created>
  <dcterms:modified xsi:type="dcterms:W3CDTF">2024-01-26T08:42:00Z</dcterms:modified>
</cp:coreProperties>
</file>