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BC492E" w:rsidRPr="00BC492E" w14:paraId="4CC5119F" w14:textId="77777777" w:rsidTr="00BC492E">
        <w:tc>
          <w:tcPr>
            <w:tcW w:w="3420" w:type="dxa"/>
            <w:tcBorders>
              <w:top w:val="nil"/>
              <w:left w:val="nil"/>
              <w:bottom w:val="nil"/>
              <w:right w:val="nil"/>
            </w:tcBorders>
            <w:shd w:val="clear" w:color="auto" w:fill="auto"/>
            <w:tcMar>
              <w:top w:w="45" w:type="dxa"/>
              <w:left w:w="75" w:type="dxa"/>
              <w:bottom w:w="45" w:type="dxa"/>
              <w:right w:w="75" w:type="dxa"/>
            </w:tcMar>
            <w:hideMark/>
          </w:tcPr>
          <w:p w14:paraId="31A9739D" w14:textId="77777777" w:rsidR="00BC492E" w:rsidRPr="00BC492E" w:rsidRDefault="00BC492E" w:rsidP="00BC492E">
            <w:pPr>
              <w:spacing w:after="0" w:line="240" w:lineRule="auto"/>
              <w:jc w:val="center"/>
              <w:rPr>
                <w:rFonts w:ascii="Times New Roman" w:eastAsia="Times New Roman" w:hAnsi="Times New Roman" w:cs="Times New Roman"/>
                <w:color w:val="000000"/>
                <w:sz w:val="24"/>
                <w:szCs w:val="24"/>
                <w:lang w:eastAsia="ru-RU"/>
              </w:rPr>
            </w:pPr>
            <w:r w:rsidRPr="00BC492E">
              <w:rPr>
                <w:rFonts w:ascii="Times New Roman" w:eastAsia="Times New Roman" w:hAnsi="Times New Roman" w:cs="Times New Roman"/>
                <w:color w:val="000000"/>
                <w:sz w:val="24"/>
                <w:szCs w:val="24"/>
                <w:lang w:eastAsia="ru-RU"/>
              </w:rPr>
              <w:t>Приложение 122 к приказу</w:t>
            </w:r>
            <w:r w:rsidRPr="00BC492E">
              <w:rPr>
                <w:rFonts w:ascii="Times New Roman" w:eastAsia="Times New Roman" w:hAnsi="Times New Roman" w:cs="Times New Roman"/>
                <w:color w:val="000000"/>
                <w:sz w:val="24"/>
                <w:szCs w:val="24"/>
                <w:lang w:eastAsia="ru-RU"/>
              </w:rPr>
              <w:br/>
              <w:t>Первого заместителя</w:t>
            </w:r>
            <w:r w:rsidRPr="00BC492E">
              <w:rPr>
                <w:rFonts w:ascii="Times New Roman" w:eastAsia="Times New Roman" w:hAnsi="Times New Roman" w:cs="Times New Roman"/>
                <w:color w:val="000000"/>
                <w:sz w:val="24"/>
                <w:szCs w:val="24"/>
                <w:lang w:eastAsia="ru-RU"/>
              </w:rPr>
              <w:br/>
              <w:t>Премьера-Министра</w:t>
            </w:r>
            <w:r w:rsidRPr="00BC492E">
              <w:rPr>
                <w:rFonts w:ascii="Times New Roman" w:eastAsia="Times New Roman" w:hAnsi="Times New Roman" w:cs="Times New Roman"/>
                <w:color w:val="000000"/>
                <w:sz w:val="24"/>
                <w:szCs w:val="24"/>
                <w:lang w:eastAsia="ru-RU"/>
              </w:rPr>
              <w:br/>
              <w:t>Республики Казахстан</w:t>
            </w:r>
            <w:r w:rsidRPr="00BC492E">
              <w:rPr>
                <w:rFonts w:ascii="Times New Roman" w:eastAsia="Times New Roman" w:hAnsi="Times New Roman" w:cs="Times New Roman"/>
                <w:color w:val="000000"/>
                <w:sz w:val="24"/>
                <w:szCs w:val="24"/>
                <w:lang w:eastAsia="ru-RU"/>
              </w:rPr>
              <w:br/>
              <w:t>– Министра финансов</w:t>
            </w:r>
            <w:r w:rsidRPr="00BC492E">
              <w:rPr>
                <w:rFonts w:ascii="Times New Roman" w:eastAsia="Times New Roman" w:hAnsi="Times New Roman" w:cs="Times New Roman"/>
                <w:color w:val="000000"/>
                <w:sz w:val="24"/>
                <w:szCs w:val="24"/>
                <w:lang w:eastAsia="ru-RU"/>
              </w:rPr>
              <w:br/>
              <w:t>Республики Казахстан</w:t>
            </w:r>
            <w:r w:rsidRPr="00BC492E">
              <w:rPr>
                <w:rFonts w:ascii="Times New Roman" w:eastAsia="Times New Roman" w:hAnsi="Times New Roman" w:cs="Times New Roman"/>
                <w:color w:val="000000"/>
                <w:sz w:val="24"/>
                <w:szCs w:val="24"/>
                <w:lang w:eastAsia="ru-RU"/>
              </w:rPr>
              <w:br/>
              <w:t>от 20 января 2020 года № 39</w:t>
            </w:r>
          </w:p>
        </w:tc>
      </w:tr>
    </w:tbl>
    <w:p w14:paraId="5B806238" w14:textId="2016EC20"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E51DC8">
        <w:rPr>
          <w:rFonts w:ascii="Times New Roman" w:eastAsia="Times New Roman" w:hAnsi="Times New Roman" w:cs="Times New Roman"/>
          <w:b/>
          <w:bCs/>
          <w:sz w:val="24"/>
          <w:szCs w:val="24"/>
          <w:lang w:eastAsia="ru-RU"/>
        </w:rPr>
        <w:t>Правила составления налоговой отчетности</w:t>
      </w:r>
      <w:r w:rsidRPr="00E51DC8">
        <w:rPr>
          <w:rFonts w:ascii="Times New Roman" w:eastAsia="Times New Roman" w:hAnsi="Times New Roman" w:cs="Times New Roman"/>
          <w:b/>
          <w:bCs/>
          <w:sz w:val="24"/>
          <w:szCs w:val="24"/>
          <w:lang w:eastAsia="ru-RU"/>
        </w:rPr>
        <w:br/>
        <w:t>"Декларация по индивидуальному подоходному налогу и социальному налогу</w:t>
      </w:r>
      <w:r w:rsidRPr="00E51DC8">
        <w:rPr>
          <w:rFonts w:ascii="Times New Roman" w:eastAsia="Times New Roman" w:hAnsi="Times New Roman" w:cs="Times New Roman"/>
          <w:b/>
          <w:bCs/>
          <w:sz w:val="24"/>
          <w:szCs w:val="24"/>
          <w:lang w:eastAsia="ru-RU"/>
        </w:rPr>
        <w:br/>
        <w:t>(форма 200.00)"</w:t>
      </w:r>
    </w:p>
    <w:p w14:paraId="6744F6C0"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val="en-US" w:eastAsia="ru-RU"/>
        </w:rPr>
      </w:pPr>
      <w:r w:rsidRPr="00E51DC8">
        <w:rPr>
          <w:rFonts w:ascii="Times New Roman" w:eastAsia="Times New Roman" w:hAnsi="Times New Roman" w:cs="Times New Roman"/>
          <w:b/>
          <w:bCs/>
          <w:sz w:val="24"/>
          <w:szCs w:val="24"/>
          <w:lang w:eastAsia="ru-RU"/>
        </w:rPr>
        <w:t>Глава 1. Общие положения</w:t>
      </w:r>
    </w:p>
    <w:p w14:paraId="5BBB1FFB" w14:textId="2A3D065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Настоящие Правила составления налоговой отчетности "Декларация по индивидуальному подоходному налогу и социальному налогу (форма 200.00)"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Социальным кодексом Республики Казахстан (далее – Социальный кодекс) и Законом Республики Казахстан "Об обязательном социальном медицинском страховании" (далее – Закон об обязательном социальном медицинском страховании).</w:t>
      </w:r>
    </w:p>
    <w:p w14:paraId="34C6C02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Правила определяют порядок составления формы налоговой отчетности "Декларация по индивидуальному подоходному налогу и социальному налогу" (далее – декларация), предназначенной для исчисления индивидуального подоходного налога (далее – ИПН), социального налога, единого платежа, а также для исчисления, удержания (начисления) и перечисления сумм обязательных пенсионных взносов (далее – обязательные пенсионные взносы), обязательных профессиональных пенсионных взносов, обязательных пенсионных взносов работодателя в единый накопительный пенсионный фонд (далее – ЕНПФ), начисления и перечисления сумм социальных отчислений в Государственный фонд социального страхования (далее – социальные отчисления), отчислений и (или) взносов на обязательное социальное медицинское страхование (далее – ОСМС).</w:t>
      </w:r>
    </w:p>
    <w:p w14:paraId="47C6FF3F" w14:textId="0F505A2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Декларация составляется налогоплательщиками (налоговыми агентами, за исключением применяющих специальные налоговые режимы для крестьянских или фермерских хозяйств, на основе упрощенной декларации), плательщиками единого платежа согласно главам 35 и 36 раздела 8, главе 74 раздела 19, разделу 19 и разделу 19 раздела 24-1 Налогового кодекса, агентами по уплате обязательных пенсионных взносов, обязательных профессиональных пенсионных взносов, обязательных пенсионных взносов работодателя и плательщиками социальных отчислений в соответствии с Социальным кодексом, плательщиками взносов и (или) отчислений на обязательное социальное медицинское страхование в соответствии с Законом об обязательном социальном медицинском страховании, в том числе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 по обязательным пенсионным взносам, социальным отчислениям, взносам на ОСМС в свою пользу в размерах, установленных Социальным кодексом и Законом об обязательном социальном медицинском страховании.</w:t>
      </w:r>
    </w:p>
    <w:p w14:paraId="383AF49F" w14:textId="5A7981A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Структурные подразделения, признанные по решению юридического лица самостоятельными плательщиками социального налога согласно пункту 3 статьи 482 </w:t>
      </w:r>
      <w:r w:rsidRPr="00E51DC8">
        <w:rPr>
          <w:rFonts w:ascii="Times New Roman" w:eastAsia="Times New Roman" w:hAnsi="Times New Roman" w:cs="Times New Roman"/>
          <w:spacing w:val="2"/>
          <w:sz w:val="24"/>
          <w:szCs w:val="24"/>
          <w:lang w:eastAsia="ru-RU"/>
        </w:rPr>
        <w:lastRenderedPageBreak/>
        <w:t>Налогового кодекса, признаются налоговыми агентами по индивидуальному подоходному налогу.</w:t>
      </w:r>
    </w:p>
    <w:p w14:paraId="1EAF93DB" w14:textId="79FA704E"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Налогоплательщик, осуществляющий деятельность в рамках специального налогового режима в соответствии со статьями 697, 698, 699, 700 и 701 Налогового кодекса и деятельность, налогообложение которой производит в общеустановленном порядке, представление декларации производит раздельно по каждому виду деятельности в соответствии с пунктом 1 статьи 207 Налогового кодекса.</w:t>
      </w:r>
      <w:r w:rsidR="00E47149"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50C802E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Данная форма распространяется на правоотношения, возникшие с 1 января 2023 года.</w:t>
      </w:r>
    </w:p>
    <w:p w14:paraId="24239F8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Декларация состоит из самой декларации (форма 200.00) и приложений к ней (формы с 200.01 по 200.06), предназначенных для детального отражения информации об исчислении налогового обязательства.</w:t>
      </w:r>
    </w:p>
    <w:p w14:paraId="05AAAD9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При заполнении декларации не допускаются исправления, подчистки и помарки.</w:t>
      </w:r>
    </w:p>
    <w:p w14:paraId="7FD26D9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При отсутствии показателей соответствующие ячейки декларации не заполняются.</w:t>
      </w:r>
    </w:p>
    <w:p w14:paraId="46C4389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0BBCBC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Приложения к декларации не составляются при отсутствии данных, подлежащих отражению в них.</w:t>
      </w:r>
    </w:p>
    <w:p w14:paraId="6F86543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0F5A56D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В настоящих Правилах применяются следующие арифметические знаки: "+" – плюс, "–" – минус, "х" – умножение, "/" – деление, "=" – равно.</w:t>
      </w:r>
    </w:p>
    <w:p w14:paraId="17C2563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Отрицательные значения сумм обозначаются знаком "–" в первой левой ячейке соответствующей строки (графы) декларации.</w:t>
      </w:r>
    </w:p>
    <w:p w14:paraId="15733D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При составлении декларации:</w:t>
      </w:r>
    </w:p>
    <w:p w14:paraId="0113BAB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6CEE2C5B" w14:textId="25D18AB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в электронной форме – заполняется в соответствии со статьей 208 Налогового кодекса.</w:t>
      </w:r>
    </w:p>
    <w:p w14:paraId="08289C45" w14:textId="6E2B5FF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плательщиком единого платежа, агентом или плательщиком социальных платежей) на бумажном и (или) электронных </w:t>
      </w:r>
      <w:r w:rsidRPr="00E51DC8">
        <w:rPr>
          <w:rFonts w:ascii="Times New Roman" w:eastAsia="Times New Roman" w:hAnsi="Times New Roman" w:cs="Times New Roman"/>
          <w:spacing w:val="2"/>
          <w:sz w:val="24"/>
          <w:szCs w:val="24"/>
          <w:lang w:eastAsia="ru-RU"/>
        </w:rPr>
        <w:lastRenderedPageBreak/>
        <w:t>носителях на казахском и (или) русском языках, в соответствии с пунктом 2 статьи 204 Налогового кодекса.</w:t>
      </w:r>
    </w:p>
    <w:p w14:paraId="18FFAFC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При представлении декларации:</w:t>
      </w:r>
    </w:p>
    <w:p w14:paraId="24080FC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явочном порядке на бумажном носителе – составляется в двух экземплярах, один экземпляр возвращается налогоплательщику (налоговому агенту, плательщику единого платежа, агенту или плательщику социальных платежей)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645344D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по почте заказным письмом с уведомлением на бумажном носителе – налогоплательщик (налоговый агент, плательщик единого платежа, агент или плательщик социальных платежей) получает уведомление почтовой или иной организации связи;</w:t>
      </w:r>
    </w:p>
    <w:p w14:paraId="6985321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в электронной форме, допускающем компьютерную обработку информации – налогоплательщик (налоговый агент, плательщик единого платежа, агент или плательщик социальных платежей)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35DE8BF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В разделах "Общая информация о налогоплательщике (налоговом агенте, плательщике единого платежа, агенте или плательщике социальных платежей)" приложений указываются соответствующие данные, отраженные в разделе "Общая информация о налогоплательщике (налоговом агенте, плательщике единого платежа, агенте или плательщике социальных платежей)" декларации.</w:t>
      </w:r>
    </w:p>
    <w:p w14:paraId="35AC821C"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E51DC8">
        <w:rPr>
          <w:rFonts w:ascii="Times New Roman" w:eastAsia="Times New Roman" w:hAnsi="Times New Roman" w:cs="Times New Roman"/>
          <w:b/>
          <w:bCs/>
          <w:sz w:val="24"/>
          <w:szCs w:val="24"/>
          <w:lang w:eastAsia="ru-RU"/>
        </w:rPr>
        <w:t>Глава 2. Пояснение по заполнению декларации (форма 200.00)</w:t>
      </w:r>
    </w:p>
    <w:p w14:paraId="36083DE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В разделе "Общая информация о налогоплательщике (налоговом агенте, плательщике единого платежа, агенте или плательщике социальных платежей)" налогоплательщик указывает следующие данные:</w:t>
      </w:r>
    </w:p>
    <w:p w14:paraId="753C40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Индивидуальный идентификационный номер (бизнес-идентификационный номер) (далее – ИИН (БИН)) налогоплательщика.</w:t>
      </w:r>
    </w:p>
    <w:p w14:paraId="238C100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ИИН (БИН) доверительного управляющего;</w:t>
      </w:r>
    </w:p>
    <w:p w14:paraId="4F501BD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 отчетный квартал, в который входят отчетные налоговые периоды (указывается арабскими цифрами);</w:t>
      </w:r>
    </w:p>
    <w:p w14:paraId="4F48B02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наименование налогоплательщика (налогового агента, плательщика единого платежа, агента или плательщика социальных платежей)/фамилия, имя, отчество (при его наличии) вкладчика (плательщика) – фамилия, имя, отчество (при его наличии) физического лица или наименование юридического лица в соответствии с учредительными документами.</w:t>
      </w:r>
    </w:p>
    <w:p w14:paraId="329B29C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При исполнении налогового обязательства доверительным управляющим в строке указываются фамилия, имя, отчество (при его наличии) физического лица или наименование юридического лица-доверительного управляющего;</w:t>
      </w:r>
    </w:p>
    <w:p w14:paraId="059E8E1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вид декларации.</w:t>
      </w:r>
    </w:p>
    <w:p w14:paraId="2EBCBC54" w14:textId="6B2D475A"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Соответствующие ячейки отмечаются с учетом отнесения декларации к видам налоговой отчетности, указанным в статье 206 Налогового кодекса;</w:t>
      </w:r>
    </w:p>
    <w:p w14:paraId="1991A50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номер и дата уведомления.</w:t>
      </w:r>
    </w:p>
    <w:p w14:paraId="0375C8F4" w14:textId="219E7329"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Строки заполняются при представлении вида декларации, предусмотренного подпунктом 4) пункта 3 статьи 206 Налогового кодекса;</w:t>
      </w:r>
    </w:p>
    <w:p w14:paraId="58AAFB5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отдельные категории налогоплательщика (налогового агента, плательщика единого платежа, агента или плательщика социальных платежей).</w:t>
      </w:r>
    </w:p>
    <w:p w14:paraId="3278925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Ячейки отмечаются, если налогоплательщик относится к одной из категорий, указанных в строках А, B, C, D, Е и F:</w:t>
      </w:r>
    </w:p>
    <w:p w14:paraId="56920E3B" w14:textId="4FDCDDB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А – доверительный управляющий в соответствии со статьей 40 Налогового кодекса;</w:t>
      </w:r>
    </w:p>
    <w:p w14:paraId="3C38E159" w14:textId="1DB9A2D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В – налогоплательщик, применяющий специальный налоговый режим для производителей сельскохозяйственной продукции и сельскохозяйственных кооперативов в соответствии со статьей 355 Налогового кодекса;</w:t>
      </w:r>
    </w:p>
    <w:p w14:paraId="6D29ED18" w14:textId="6FDE860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 – учредитель доверительного управления в соответствии со статьей 40 Налогового кодекса;</w:t>
      </w:r>
    </w:p>
    <w:p w14:paraId="7C79A2C8" w14:textId="73E8F2E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D – налогоплательщик, применяющий специальный налоговый режим на основе патента в соответствии со статьей 355 Налогового кодекса;</w:t>
      </w:r>
    </w:p>
    <w:p w14:paraId="6166D69A" w14:textId="1E54B41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 – налогоплательщик, применяющий специальный налоговый режим с использованием фиксированного вычета в соответствии со статьей 355 Налогового кодекса;</w:t>
      </w:r>
    </w:p>
    <w:p w14:paraId="4143CD34" w14:textId="7444A88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F – плательщик единого платежа в соответствии со статьей 776-1 Налогового кодекса.</w:t>
      </w:r>
    </w:p>
    <w:p w14:paraId="6124160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Если налогоплательщик, отметивший ячейку </w:t>
      </w:r>
      <w:proofErr w:type="gramStart"/>
      <w:r w:rsidRPr="00E51DC8">
        <w:rPr>
          <w:rFonts w:ascii="Times New Roman" w:eastAsia="Times New Roman" w:hAnsi="Times New Roman" w:cs="Times New Roman"/>
          <w:spacing w:val="2"/>
          <w:sz w:val="24"/>
          <w:szCs w:val="24"/>
          <w:lang w:eastAsia="ru-RU"/>
        </w:rPr>
        <w:t>6В</w:t>
      </w:r>
      <w:proofErr w:type="gramEnd"/>
      <w:r w:rsidRPr="00E51DC8">
        <w:rPr>
          <w:rFonts w:ascii="Times New Roman" w:eastAsia="Times New Roman" w:hAnsi="Times New Roman" w:cs="Times New Roman"/>
          <w:spacing w:val="2"/>
          <w:sz w:val="24"/>
          <w:szCs w:val="24"/>
          <w:lang w:eastAsia="ru-RU"/>
        </w:rPr>
        <w:t xml:space="preserve"> одновременно относится к категории 6А, 6С или 6D, 6F, то отмечает обе ячейки 6В и 6А, 6В и 6С или 6D; 6B и 6F.</w:t>
      </w:r>
    </w:p>
    <w:p w14:paraId="406D4DED" w14:textId="77CC50F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участник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p>
    <w:p w14:paraId="3C5358F6" w14:textId="581B5FD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код валюты –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6488A35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Данный код валюты не распространяется на социальные платежи, которые отражаются в соответствующих строках декларации и приложений к ней в тенге;</w:t>
      </w:r>
    </w:p>
    <w:p w14:paraId="68F02A5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признак резидентства:</w:t>
      </w:r>
    </w:p>
    <w:p w14:paraId="6095E3C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ячейка А отмечается налогоплательщиком-резидентом Республики Казахстан;</w:t>
      </w:r>
    </w:p>
    <w:p w14:paraId="714F8F9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ячейка В отмечается налогоплательщиком-нерезидентом Республики Казахстан;</w:t>
      </w:r>
    </w:p>
    <w:p w14:paraId="1444BFA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xml:space="preserve">      10) общая численность работников (человек) – численность работников, в том числе иностранцев и лиц </w:t>
      </w:r>
      <w:proofErr w:type="gramStart"/>
      <w:r w:rsidRPr="00E51DC8">
        <w:rPr>
          <w:rFonts w:ascii="Times New Roman" w:eastAsia="Times New Roman" w:hAnsi="Times New Roman" w:cs="Times New Roman"/>
          <w:spacing w:val="2"/>
          <w:sz w:val="24"/>
          <w:szCs w:val="24"/>
          <w:lang w:eastAsia="ru-RU"/>
        </w:rPr>
        <w:t>без гражданства</w:t>
      </w:r>
      <w:proofErr w:type="gramEnd"/>
      <w:r w:rsidRPr="00E51DC8">
        <w:rPr>
          <w:rFonts w:ascii="Times New Roman" w:eastAsia="Times New Roman" w:hAnsi="Times New Roman" w:cs="Times New Roman"/>
          <w:spacing w:val="2"/>
          <w:sz w:val="24"/>
          <w:szCs w:val="24"/>
          <w:lang w:eastAsia="ru-RU"/>
        </w:rPr>
        <w:t xml:space="preserve"> которым начислены доходы в отчетном квартале.</w:t>
      </w:r>
    </w:p>
    <w:p w14:paraId="2C79C9E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предоставлении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57447BE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наличие структурных подразделений, не признанных по решению юридического лица-резидента налоговыми агентами по ИПН и самостоятельными плательщиками по социальному налогу.</w:t>
      </w:r>
    </w:p>
    <w:p w14:paraId="795197C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наличии у юридического лица-резидента структурных подразделений, не признанных налоговыми агентами по ИПН и самостоятельными плательщиками по социальному налогу, отмечается соответствующая ячейка. Обязательно для заполнения одной из ячеек;</w:t>
      </w:r>
    </w:p>
    <w:p w14:paraId="4A3928E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представленные приложения.</w:t>
      </w:r>
    </w:p>
    <w:p w14:paraId="0DE2FDF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Отмечаются ячейки представленных приложений;</w:t>
      </w:r>
    </w:p>
    <w:p w14:paraId="58358A4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количество приложений 200.03.</w:t>
      </w:r>
    </w:p>
    <w:p w14:paraId="1905A8D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Указывается количество приложений 200.03,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w:t>
      </w:r>
    </w:p>
    <w:p w14:paraId="092A458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количество приложений 200.04.</w:t>
      </w:r>
    </w:p>
    <w:p w14:paraId="35B9F93A" w14:textId="7FC22B0B"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Указывается количество приложений 200.04, которое соответствует количеству контрактов, заключенных с Республикой Казахстан в установленном Налоговым кодексом порядке;</w:t>
      </w:r>
    </w:p>
    <w:p w14:paraId="3A9AEDD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15) количество приложений 200.06.</w:t>
      </w:r>
    </w:p>
    <w:p w14:paraId="64A39E7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Указывается количество приложений 200.06,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 и налогового агента (в том числе структурного подразделения, признанного налоговым агентом).</w:t>
      </w:r>
    </w:p>
    <w:p w14:paraId="7403D02A" w14:textId="4DFBFBA1"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t>      Сноска. Пункт 14 - в редакции приказа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5155C24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15. В разделе "Расчетные показатели":</w:t>
      </w:r>
    </w:p>
    <w:p w14:paraId="620B3B11" w14:textId="3DE4404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 строки 200.00.001 I, 200.00.001 II и 200.00.001 III предназначены для отражения суммы ИПН, исчисленного с доходов, выплаченных физическим лицам и подлежащей перечислению в бюджет за каждый месяц отчетного квартала налоговым агентом (в том </w:t>
      </w:r>
      <w:r w:rsidRPr="00E51DC8">
        <w:rPr>
          <w:rFonts w:ascii="Times New Roman" w:eastAsia="Times New Roman" w:hAnsi="Times New Roman" w:cs="Times New Roman"/>
          <w:spacing w:val="2"/>
          <w:sz w:val="24"/>
          <w:szCs w:val="24"/>
          <w:lang w:eastAsia="ru-RU"/>
        </w:rPr>
        <w:lastRenderedPageBreak/>
        <w:t>числе структурных подразделений, признанных налоговыми агентами в соответствии со статьей 353 Налогового кодекса), за исключением суммы ИПН в составе единого платежа и суммы ИПН, подлежащей уплате в бюджет по доходам работников структурных подразделений, не признанных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63E5DF2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200.00.001 IV предназначена для отражения итоговой суммы налога за отчетный квартал, определяемой как сумма строк 200.00.001 I, 200.00.001 II и 200.00.001 III;</w:t>
      </w:r>
    </w:p>
    <w:p w14:paraId="04ADDAAB" w14:textId="207C4E99"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200.00.002 I, 200.00.002 II и 200.00.002 III предназначены для отражения суммы обязательных пенсионных взносов, исчисленных с выплаченных доходов работников и физических лиц по договорам гражданско-правового характера и подлежащих перечислению в ЕНПФ за каждый месяц отчетного квартала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обязательных пенсионных взносов в составе единого платежа и сумм обязательных пенсионных взносов,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1CAA984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200.00.002 IV предназначена для отражения итоговой суммы обязательных пенсионных взносов за отчетный квартал, определяемой как сумма строк 200.00.002 I, 200.00.002 II и 200.00.002 III;</w:t>
      </w:r>
    </w:p>
    <w:p w14:paraId="579FD00D" w14:textId="6E574842"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200.00.003 I, 200.00.003 II и 200.00.003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профессиональных пенсионных взносов,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профессиональных пенсионных взносов,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28FD65C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200.00.003 IV предназначена для отражения итоговой суммы обязательных профессиональных пенсионных взносов за отчетный квартал, определяемой как сумма строк 200.00.003 I, 200.00.003 II и 200.00.003 III;</w:t>
      </w:r>
    </w:p>
    <w:p w14:paraId="1C36621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строки 200.00.004 I, 200.00.004 II и 200.00.004 III предназначены для отражения суммы обязательных пенсионных взносов, подлежащих перечислению в свою пользу в ЕНПФ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6D5D6A7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200.00.004 IV предназначена для отражения итоговой суммы обязательных пенсионных взносов за отчетный квартал, определяемой как сумма строк 200.00.004 I, 200.00.004 II и 200.00.004 III;</w:t>
      </w:r>
    </w:p>
    <w:p w14:paraId="33CB135B" w14:textId="4C281F7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5) строки 200.00.005 I, 200.00.005 II и 200.00.005 III предназначены для отражения суммы социального налога, подлежащего уплате в бюджет, исчисленного в соответствии с пунктом 1 статьи 485 Налогового кодекса за каждый месяц отчетного квартала, и уменьшенного на сумму социальных отчислений, исчисленных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10B24A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Данные строки не заполняются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w:t>
      </w:r>
    </w:p>
    <w:p w14:paraId="22E96BA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Исчисление социального налога, подлежащего уплате производится по каждому работнику.</w:t>
      </w:r>
    </w:p>
    <w:p w14:paraId="6FD4CF3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200.00.005 IV предназначена для отражения итоговой суммы налога за отчетный квартал, определяемой как сумма строк 200.00.005 I, 200.00.005 II и 200.00.005 III;</w:t>
      </w:r>
    </w:p>
    <w:p w14:paraId="521D9AF6" w14:textId="6503E1C4"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при представлении декларации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 сумма социального налога, подлежащего уплате в бюджет, отражается в строке 200.00.006 с учетом особенности, установленной статьей 700 Налогового кодекса (при заполнении ячейки 6 В).</w:t>
      </w:r>
    </w:p>
    <w:p w14:paraId="54CEBB7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Строки 200.00.006 I, 200.00.006 II и 200.00.006 III предназначены для отражения суммы социального налога за каждый месяц отчетного квартала.</w:t>
      </w:r>
    </w:p>
    <w:p w14:paraId="19FB885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200.00.006 IV предназначена для отражения итоговой общей суммы налога за отчетный квартал, определяемой как сумма строк 200.00.006 I, 200.00.006 II и 200.00.006 III;</w:t>
      </w:r>
    </w:p>
    <w:p w14:paraId="61AB75CF" w14:textId="4B3A5A4E"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строки 200.00.007 I, 200.00.007 II и 200.00.007 III предназначены для отражения суммы социального налога, подлежащего уплате в бюджет, исчисленного в соответствии с пунктом 2 статьи 485 Налогового кодекса, уменьшенного на сумму социальных отчислений и уплачиваемого налогоплательщиком за себя и за работников за каждый месяц отчетного квартала.</w:t>
      </w:r>
    </w:p>
    <w:p w14:paraId="09D3631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200.00.007 IV предназначена для отражения итоговой суммы налога за отчетный квартал, определяемой как сумма строк 200.00.007 I, 200.00.007 II и 200.00.007 III;</w:t>
      </w:r>
    </w:p>
    <w:p w14:paraId="0D8E0C01" w14:textId="50E35456"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8) строки 200.00.008 I, 200.00.008 II и 200.00.008 III предназначены для отражения суммы социальных отчислений в каждом месяце отчетного квартала, определяемых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социальных отчислений в составе единого платежа и суммы социальных отчислений, подлежащих перечислению за </w:t>
      </w:r>
      <w:r w:rsidRPr="00E51DC8">
        <w:rPr>
          <w:rFonts w:ascii="Times New Roman" w:eastAsia="Times New Roman" w:hAnsi="Times New Roman" w:cs="Times New Roman"/>
          <w:spacing w:val="2"/>
          <w:sz w:val="24"/>
          <w:szCs w:val="24"/>
          <w:lang w:eastAsia="ru-RU"/>
        </w:rPr>
        <w:lastRenderedPageBreak/>
        <w:t>структурные подразделения, не признанные налоговыми агентами, которые подлежат отражению в приложении 200.03 к данной форме.</w:t>
      </w:r>
    </w:p>
    <w:p w14:paraId="1D6F4C3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200.00.008 IV предназначена для отражения итоговой суммы социальных отчислений за отчетный квартал, определяемой как сумма строк 200.00.008 I, 200.00.008 II и 200.00.008 III;</w:t>
      </w:r>
    </w:p>
    <w:p w14:paraId="51CCC41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строки 200.00.009 I, 200.00.009 II и 200.00.009 III предназначены для отражения суммы социальных отчислений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378C3AF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200.00.009 IV предназначена для отражения итоговой суммы социальных отчислений за отчетный квартал, определяемой как сумма строк 200.00.009 I, 200.00.009 II и 200.00.009 III;</w:t>
      </w:r>
    </w:p>
    <w:p w14:paraId="19BFED6E" w14:textId="59D5276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строки 200.00.010 I, 200.00.010 II и 200.00.010 III предназначены для отражения суммы отчислений на ОСМС в соответствии с Законом об обязательном социальном медицинском страховании, за исключением сумм отчислений на ОСМС в составе единого платежа и сумм отчислений на ОСМС,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73044F8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200.00.010 IV предназначена для отражения итоговой суммы отчислений на ОСМС за отчетный квартал, определяемой как сумма строк 200.00.010 I, 200.00.010 II и 200.00.010 III;</w:t>
      </w:r>
    </w:p>
    <w:p w14:paraId="076CD614" w14:textId="29E22E2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строки 200.00.011 I, 200.00.011 II и 200.00.011 III предназначены для отражения суммы взносов на ОСМС с доходов работников в соответствии с Законом об обязательном социальном медицинском страховании, за исключением сумм взносов на ОСМС в составе единого платежа и сумм взносов на ОСМС, подлежащих уплате за структурные подразделения, не признанные налоговыми агентами, которые подлежат отражению в приложении 200.03 к данной форме,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w:t>
      </w:r>
    </w:p>
    <w:p w14:paraId="755D687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200.00.011 IV предназначена для отражения итоговой суммы взносов на ОСМС за отчетный квартал, определяемой как сумма строк 200.00.011 I, 200.00.011 II и 200.00.011 III;</w:t>
      </w:r>
    </w:p>
    <w:p w14:paraId="1B7EC8EC" w14:textId="05745D22"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строки 200.00.012 I, 200.00.012 II и 200.00.012 III предназначены для отражения суммы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69EED81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200.00.012 IV предназначена для отражения итоговой суммы взносов на ОСМС в свою пользу за отчетный квартал, определяемой как сумма строк 200.00.012 I, 200.00.012 II и 200.00.012 III;</w:t>
      </w:r>
    </w:p>
    <w:p w14:paraId="0AE46903" w14:textId="061E9B1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13) строки 200.00.013 I, 200.00.013 II и 200.00.013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пенсионных взносов работодателя,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пенсионных взносов работодателя в составе единого платежа и сумм обязательных пенсионных взносов работодателя,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779D413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200.00.013 IV предназначена для отражения итоговой суммы обязательных пенсионных взносов работодателя за отчетный квартал, определяемой как сумма строк 200.00.013 I, 200.00.013 II и 200.00.013 III.</w:t>
      </w:r>
    </w:p>
    <w:p w14:paraId="66DC1D31" w14:textId="62E90D4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строки 200.00.014 I, 200.00.014 II и 200.00.014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за исключением сумм обязательных профессиональных пенсионных взносов, и Законом об обязательном социальном медицинском страховании.</w:t>
      </w:r>
    </w:p>
    <w:p w14:paraId="2558D9D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200.00.014 IV предназначена для отражения итоговой суммы единого платежа за отчетный квартал, определяемой как сумма строк 200.00.014 I, 200.00.014 II и 200.00.014 III.</w:t>
      </w:r>
    </w:p>
    <w:p w14:paraId="5CA8C173" w14:textId="4375CE3B"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t>      Сноска. Пункт 15 - в редакции приказа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51123E2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16. В разделе "Ответственность налогоплательщика":</w:t>
      </w:r>
    </w:p>
    <w:p w14:paraId="43E7552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поле "Фамилия, имя, отчество (при его наличии) Руководителя/Фамилия, имя, отчество (при его наличии) Вкладчика" указываются фамилия, имя, отчество (при его наличии) руководителя в соответствии с учредительными документами/вкладчика, в соответствии с документами, удостоверяющими личность.</w:t>
      </w:r>
    </w:p>
    <w:p w14:paraId="1CBAA41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Если декларация представляется индивидуальным предпринимателем, лицом, занимающимся </w:t>
      </w:r>
      <w:proofErr w:type="gramStart"/>
      <w:r w:rsidRPr="00E51DC8">
        <w:rPr>
          <w:rFonts w:ascii="Times New Roman" w:eastAsia="Times New Roman" w:hAnsi="Times New Roman" w:cs="Times New Roman"/>
          <w:spacing w:val="2"/>
          <w:sz w:val="24"/>
          <w:szCs w:val="24"/>
          <w:lang w:eastAsia="ru-RU"/>
        </w:rPr>
        <w:t>частной практикой</w:t>
      </w:r>
      <w:proofErr w:type="gramEnd"/>
      <w:r w:rsidRPr="00E51DC8">
        <w:rPr>
          <w:rFonts w:ascii="Times New Roman" w:eastAsia="Times New Roman" w:hAnsi="Times New Roman" w:cs="Times New Roman"/>
          <w:spacing w:val="2"/>
          <w:sz w:val="24"/>
          <w:szCs w:val="24"/>
          <w:lang w:eastAsia="ru-RU"/>
        </w:rPr>
        <w:t xml:space="preserve"> указываются его фамилия, имя, отчество (при его наличии) в соответствии с документами, удостоверяющими личность.</w:t>
      </w:r>
    </w:p>
    <w:p w14:paraId="3F35E7E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120EC28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дата подачи декларации – текущая дата представления декларации в орган государственных доходов;</w:t>
      </w:r>
    </w:p>
    <w:p w14:paraId="5B4918D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3) код органа государственных доходов – бенефициара по ИПН и социальному налогу – код органа государственных доходов по месту регистрационного учета налогового агента;</w:t>
      </w:r>
    </w:p>
    <w:p w14:paraId="1E4BF17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код органа государственных доходов – бенефициара по социальным платежам – код органа государственных доходов по месту нахождения (жительства) налогового агента, агента, вкладчика (плательщика);</w:t>
      </w:r>
    </w:p>
    <w:p w14:paraId="627B1C8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 поле "Фамилия, имя, отчество (при его наличии) должностного лица, принявшего Декларацию" – фамилия, имя, отчество (при его наличии) работника органа государственных доходов, принявшего декларацию, а также его подпись;</w:t>
      </w:r>
    </w:p>
    <w:p w14:paraId="280226A9" w14:textId="0B51E86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дата приема декларации – дата представления декларации в соответствии с пунктом 2 статьи 209 Налогового кодекса;</w:t>
      </w:r>
    </w:p>
    <w:p w14:paraId="7591DD0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входящий номер документа – регистрационный номер декларации, присваиваемый органом государственных доходов;</w:t>
      </w:r>
    </w:p>
    <w:p w14:paraId="77D9929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дата почтового штемпеля – дата почтового штемпеля, проставленного почтовой или иной организацией связи.</w:t>
      </w:r>
    </w:p>
    <w:p w14:paraId="70D9691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Подпункты 5), 6), 7) и 8) настоящего пункта заполняются работником органа государственных доходов, принявшим декларацию на бумажном носителе.</w:t>
      </w:r>
    </w:p>
    <w:p w14:paraId="7D2DCECF" w14:textId="2A6D574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E51DC8">
        <w:rPr>
          <w:rFonts w:ascii="Times New Roman" w:eastAsia="Times New Roman" w:hAnsi="Times New Roman" w:cs="Times New Roman"/>
          <w:b/>
          <w:bCs/>
          <w:sz w:val="24"/>
          <w:szCs w:val="24"/>
          <w:lang w:eastAsia="ru-RU"/>
        </w:rPr>
        <w:t>Глава 3. Пояснение по заполнению формы 200.01 – Исчисление индивидуального подоходного налога и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w:t>
      </w:r>
    </w:p>
    <w:p w14:paraId="6163E23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Данное приложение предназначено для отражения суммы доходов, начисленных налоговым агентом физическим лицам (работникам и физическим лицам по договорам гражданско-правового характера), в том числе иностранцам и лицам без гражданства, а также по отражению сумм доходов для исчисления ИПН, социального налога, сумм социальных платежей, подлежащих уплате за структурные подразделения, не признанные налоговыми агентами, которые подлежат отражению в приложении 200.03 к данной форме, за исключением суммы доходов работников, применяемых для исчисления единого платежа.</w:t>
      </w:r>
    </w:p>
    <w:p w14:paraId="4FEA647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17. В разделе "Индивидуальный подоходный налог":</w:t>
      </w:r>
    </w:p>
    <w:p w14:paraId="6E1D3F89" w14:textId="6A20D441"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 строки 200.01.001 I, 200.01.001 II и 200.01.001 III предназначены для отражения суммы доходов, начисленных налоговым агентом физическим лицам, в том числе иностранцам и лицам без гражданства, за каждый месяц отчетного квартала,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налоговым агентом в соответствии с законодательством Республики Казахстан договорам </w:t>
      </w:r>
      <w:r w:rsidRPr="00E51DC8">
        <w:rPr>
          <w:rFonts w:ascii="Times New Roman" w:eastAsia="Times New Roman" w:hAnsi="Times New Roman" w:cs="Times New Roman"/>
          <w:spacing w:val="2"/>
          <w:sz w:val="24"/>
          <w:szCs w:val="24"/>
          <w:lang w:eastAsia="ru-RU"/>
        </w:rPr>
        <w:lastRenderedPageBreak/>
        <w:t>гражданско-правового характера, в том числе доходы, отраженные в статье 341 Налогового кодекса.</w:t>
      </w:r>
    </w:p>
    <w:p w14:paraId="731B52D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и 200.01.001 В.</w:t>
      </w:r>
    </w:p>
    <w:p w14:paraId="7A460DD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200.01.001 В, 200.01.001 С, 200.01.001 D и 200.01.001 Е.</w:t>
      </w:r>
    </w:p>
    <w:p w14:paraId="6C8E0E8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А предназначена для отражения суммы доходов, начисленных работникам за отчетный квартал.</w:t>
      </w:r>
    </w:p>
    <w:p w14:paraId="20D0430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В предназначена для отражения суммы начисленных доходов в виде дивидендов за отчетный квартал.</w:t>
      </w:r>
    </w:p>
    <w:p w14:paraId="70A7883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С предназначена для отражения суммы начисленных доходов в виде выигрышей за отчетный квартал.</w:t>
      </w:r>
    </w:p>
    <w:p w14:paraId="662122F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D предназначена для отражения суммы начисленных доходов в виде вознаграждения за отчетный квартал.</w:t>
      </w:r>
    </w:p>
    <w:p w14:paraId="2047ED3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200.01.001 Е предназначена для отражения суммы начисленных доходов по договорам гражданско-правового характера предметом которых является оказание услуг, выполнение работ за отчетный квартал;</w:t>
      </w:r>
    </w:p>
    <w:p w14:paraId="0263743B" w14:textId="445089A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200.01.002 предназначена для отражения суммы доходов, освобождаемых от налогообложения согласно пунктам 6 и 7 статьи 6 Конституционного закона.</w:t>
      </w:r>
    </w:p>
    <w:p w14:paraId="3C6E9F7A" w14:textId="394B459A"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200.01.002 включает в себя в том числе, сумму доходов, отраженных в графе P в форме 200.02, по иностранцам и лицам без гражданства, являющимися работниками участника или органа МФЦА, освобождаемых от налогообложения, согласно пунктам 6 и 7 статьи 6 Конституционного закона;</w:t>
      </w:r>
    </w:p>
    <w:p w14:paraId="7AE8CCF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200.01.003 I, 200.01.003 II и 200.01.0003III предназначены для отражения суммы ИПН, исчисленного с доходов, начисленных физическим лицам в каждом месяце отчетного квартала.</w:t>
      </w:r>
    </w:p>
    <w:p w14:paraId="500BC85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200.01.003 IV предназначена для отражения итоговой суммы налога за отчетный квартал, определяемой как сумма строк 200.01.003 I, 200.01.003 II и 200.01.003 III;</w:t>
      </w:r>
    </w:p>
    <w:p w14:paraId="6F119CD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строка 200.01.004 предназначена для отражения суммы задолженности по доходам, начисленным, но не выплаченным налоговым агентом физическим лицам на конец отчетного квартала, без учета обязательных пенсионных взносов, обязательных профессиональных пенсионных взносов, обязательных пенсионных взносов работодателя, взносов на ОСМС и ИПН;</w:t>
      </w:r>
    </w:p>
    <w:p w14:paraId="11BA481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5) строка 200.01.005 предназначена для отражения суммы ИПН по доходам, начисленным, но не выплаченным на начало отчетного квартала;</w:t>
      </w:r>
    </w:p>
    <w:p w14:paraId="326C2A2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строка 200.01.006 предназначена для отражения суммы ИПН по доходам, начисленным, но не выплаченным на конец отчетного квартала;</w:t>
      </w:r>
    </w:p>
    <w:p w14:paraId="7A9A739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строки 200.01.007 I, 200.01.007 II и 200.01.007 III предназначены для отражения суммы доходов, выплаченных физическим лицам в каждом месяце отчетного квартала.</w:t>
      </w:r>
    </w:p>
    <w:p w14:paraId="1252062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200.01.007 IV предназначена для отражения итоговой суммы доходов за отчетный квартал, определяемой как сумма строк 200.01.007 I, 200.01.007 II и 200.01.007 III;</w:t>
      </w:r>
    </w:p>
    <w:p w14:paraId="6FC3085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строки 200.01.008 I, 200.01.008 II и 200.01.008 III предназначены для отражения суммы облагаемого дохода в каждом месяце отчетного квартала.</w:t>
      </w:r>
    </w:p>
    <w:p w14:paraId="2822F8D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200.01.008 IV предназначена для отражения итоговой суммы доходов за отчетный квартал, определяемой как сумма строк 200.01.008 I, 200.01.008 II и 200.01.008 III.</w:t>
      </w:r>
    </w:p>
    <w:p w14:paraId="60B0719F" w14:textId="16C56983"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t>      Сноска. Пункт 17 с изменением, внесенным приказом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6C03B8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18. В разделе "Обязательные пенсионные взносы, обязательные профессиональные пенсионные взносы, обязательные пенсионные взносы работодателя":</w:t>
      </w:r>
    </w:p>
    <w:p w14:paraId="65D29AD9" w14:textId="4213CA2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200.01.009 I, 200.01.009 II и 200.01.009 III предназначены для отражения суммы доходов, начисленных физическим лицам, с которых удерживаются (начисляются) обязательные пенсионные взносы за каждый месяц отчетного квартала в соответствии с Социальным кодексом.</w:t>
      </w:r>
    </w:p>
    <w:p w14:paraId="5B8B6A9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200.01.009 IV предназначена для отражения итоговой суммы доходов за отчетный квартал, определяемой как сумма строк 200.01.009 I, 200.01.009 II и 200.01.009 III;</w:t>
      </w:r>
    </w:p>
    <w:p w14:paraId="0E853B6A" w14:textId="6244415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200.01.010 I, 200.01.010 II и 200.01.010 III предназначены для отражения суммы доходов, начисленных физическим лицам, с которых исчисляются (начисляются) обязательные профессиональные пенсионные взносы за каждый месяц отчетного квартала в соответствии с Социальным кодексом.</w:t>
      </w:r>
    </w:p>
    <w:p w14:paraId="2844FE1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200.01.010 IV предназначена для отражения итоговой суммы доходов за отчетный квартал, определяемой как сумма строк 200.01.010 I, 200.01.010 II и 200.01.010 III;</w:t>
      </w:r>
    </w:p>
    <w:p w14:paraId="79D4951D" w14:textId="29A84FC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200.01.011 I, 200.01.011 II и 200.01.011 III предназначены для отражения суммы доходов, начисленных физическим лицам, с которых исчисляются (начисляются) обязательные пенсионные взносы работодателя за каждый месяц отчетного квартала в соответствии с Социальным кодексом.</w:t>
      </w:r>
    </w:p>
    <w:p w14:paraId="6B6974C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Строка 200.01.011 IV предназначена для отражения итоговой суммы доходов за отчетный квартал, определяемой как сумма строк 200.01.011 I, 200.00.011 II и 200.00.011 III;</w:t>
      </w:r>
    </w:p>
    <w:p w14:paraId="47B261F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строки 200.01.012 I, 200.01.012 II и 200.01.012 III предназначены для отражения суммы заявляемого дохода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21643E6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200.01.012 IV предназначена для отражения итоговой суммы заявляемого дохода за отчетный квартал, определяемой как сумма строк 200.01.012 I, 200.01.012 II и 200.01.012 III.</w:t>
      </w:r>
    </w:p>
    <w:p w14:paraId="1DBBE0AC" w14:textId="2E03A7C4"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t>      Сноска. Пункт 18 с изменениями, внесенными приказами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4BA6F0BD" w14:textId="31A7501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19. Раздел "Численность и расходы по оплате труда работников-лиц с инвалидностью" заполняется специализированными организациями, в которых работают лица с инвалидностью с нарушениями опорно-двигательного аппарата, по потере слуха, речи, зрения, соответствующими условиям пункта 3 статьи 290 Налогового кодекса.</w:t>
      </w:r>
    </w:p>
    <w:p w14:paraId="5E6E5CB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В данном разделе:</w:t>
      </w:r>
    </w:p>
    <w:p w14:paraId="4AE80BC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200.01.013 I, 200.01.013 II и 200.01.013 III предназначены для отражения численности работников-лиц с инвалидностью за каждый месяц отчетного квартала;</w:t>
      </w:r>
    </w:p>
    <w:p w14:paraId="4318EB0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200.01.014 I, 200.01.014 II и 200.01.014 III предназначены для отражения удельного веса численности работников-лиц с инвалидностью в общей численности работников за каждый месяц отчетного квартала;</w:t>
      </w:r>
    </w:p>
    <w:p w14:paraId="2DFDFAB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200.01.015 I, 200.01.015 II и 200.01.015 III предназначены для отражения удельного веса расходов по оплате труда работников-лиц с инвалидностью в общих расходах по оплате труда за каждый месяц отчетного квартала.</w:t>
      </w:r>
    </w:p>
    <w:p w14:paraId="0387D94F" w14:textId="223E695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20. Раздел "Социальный налог с применением ставок, установленных пунктом 1 статьи 485 Налогового кодекса</w:t>
      </w:r>
      <w:proofErr w:type="gramStart"/>
      <w:r w:rsidRPr="00E51DC8">
        <w:rPr>
          <w:rFonts w:ascii="Times New Roman" w:eastAsia="Times New Roman" w:hAnsi="Times New Roman" w:cs="Times New Roman"/>
          <w:spacing w:val="2"/>
          <w:sz w:val="24"/>
          <w:szCs w:val="24"/>
          <w:lang w:eastAsia="ru-RU"/>
        </w:rPr>
        <w:t>"</w:t>
      </w:r>
      <w:proofErr w:type="gramEnd"/>
      <w:r w:rsidRPr="00E51DC8">
        <w:rPr>
          <w:rFonts w:ascii="Times New Roman" w:eastAsia="Times New Roman" w:hAnsi="Times New Roman" w:cs="Times New Roman"/>
          <w:spacing w:val="2"/>
          <w:sz w:val="24"/>
          <w:szCs w:val="24"/>
          <w:lang w:eastAsia="ru-RU"/>
        </w:rPr>
        <w:t xml:space="preserve"> заполняется юридическими лицами-резидентами Республики Казахстан, а также нерезидентами, осуществляющими деятельность в Республике Казахстан через постоянное учреждение в соответствии со статьей 220 Налогового кодекса, являющимися налоговыми агентами.</w:t>
      </w:r>
    </w:p>
    <w:p w14:paraId="0DA8603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В данном разделе:</w:t>
      </w:r>
    </w:p>
    <w:p w14:paraId="0F80513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200.01.016 I, 200.01.016 II и 200.01.016 III предназначены для отражения доходов, являющихся объектом обложения социальным налогом за каждый месяц отчетного квартала.</w:t>
      </w:r>
    </w:p>
    <w:p w14:paraId="48B84AA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Индивидуальные предприниматели (за исключением применяющих специальные налоговые режимы для крестьянских или фермерских хозяйств, на основе упрощенной </w:t>
      </w:r>
      <w:r w:rsidRPr="00E51DC8">
        <w:rPr>
          <w:rFonts w:ascii="Times New Roman" w:eastAsia="Times New Roman" w:hAnsi="Times New Roman" w:cs="Times New Roman"/>
          <w:spacing w:val="2"/>
          <w:sz w:val="24"/>
          <w:szCs w:val="24"/>
          <w:lang w:eastAsia="ru-RU"/>
        </w:rPr>
        <w:lastRenderedPageBreak/>
        <w:t>декларации и патента), лица, занимающиеся частной практикой, указывают численность работников, включая, в том числе себя.</w:t>
      </w:r>
    </w:p>
    <w:p w14:paraId="6115A25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200.01.016 IV предназначена для отражения итоговой суммы доходов за отчетный квартал, определяемой как сумма строк 200.01.016 I, 200.01.016 II и 200.01.016 III.</w:t>
      </w:r>
    </w:p>
    <w:p w14:paraId="1600E49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21. В разделе "Социальные отчисления":</w:t>
      </w:r>
    </w:p>
    <w:p w14:paraId="3B4EC65B" w14:textId="004077F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200.01.017 I, 200.01.017 II и 200.01.017 III предназначены для отражения расходов работодателя, выплачиваемых физическим лицам в виде доходов, с включением в расходы работодателя выплачиваемого в виде доходов физическим лицам денежного содержания военнослужащих, сотрудников специальных государственных и правоохранительных органов в каждом месяце отчетного квартала в соответствии с Социальным кодексом.</w:t>
      </w:r>
    </w:p>
    <w:p w14:paraId="581C65C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200.01.017 IV предназначена для отражения итоговой суммы доходов физических лиц за отчетный квартал, определяемой как сумма строк 200.01.017 I, 200.01.017 II и 200.01.017 III;</w:t>
      </w:r>
    </w:p>
    <w:p w14:paraId="547A540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200.01.018 I, 200.01.018 II и 200.01.018 III предназначены для отражения суммы дохода, применяемого для исчисления социальных отчислений в свою пользу в каждом месяце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73F628E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200.01.018 IV предназначена для отражения итоговой суммы дохода за отчетный квартал, определяемой как сумма строк 200.01.018 I, 200.01.018 II и 200.01.018 III.</w:t>
      </w:r>
    </w:p>
    <w:p w14:paraId="458BB44E" w14:textId="1773254A"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t>      Сноска. Пункт 21 с изменением, внесенным приказом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1B90E96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22. В разделе "Отчисления и (или) взносы на обязательное социальное медицинское страхование":</w:t>
      </w:r>
    </w:p>
    <w:p w14:paraId="21560E4C" w14:textId="64CB5BC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200.01.019 I, 200.01.019 II и 200.01.019 III предназначены для отражения суммы дохода, применяемого для исчисления отчислений на ОСМС в соответствии с Законом об обязательном социальном медицинском страховании в каждом месяце отчетного квартала.</w:t>
      </w:r>
    </w:p>
    <w:p w14:paraId="7D6F4E3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200.01.019 IV предназначена для отражения итоговой суммы дохода за отчетный квартал, определяемой как сумма строк 200.01.019 I, 200.01.019 II и 200.01.019 III;</w:t>
      </w:r>
    </w:p>
    <w:p w14:paraId="3217FD81" w14:textId="37B60A14"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2) строки 200.01.020 I, 200.01.020 II и 200.01.020 III предназначены для отражения суммы дохода работника, а также физических лиц, получающих доходы по договорам гражданско-правового характера, где исчисление (удержание) и перечисление по таким доходам взносов осуществляются налоговыми агентами, с которыми заключены такие </w:t>
      </w:r>
      <w:r w:rsidRPr="00E51DC8">
        <w:rPr>
          <w:rFonts w:ascii="Times New Roman" w:eastAsia="Times New Roman" w:hAnsi="Times New Roman" w:cs="Times New Roman"/>
          <w:spacing w:val="2"/>
          <w:sz w:val="24"/>
          <w:szCs w:val="24"/>
          <w:lang w:eastAsia="ru-RU"/>
        </w:rPr>
        <w:lastRenderedPageBreak/>
        <w:t>договоры в соответствии с Законом об обязательном социальном медицинском страховании в каждом месяце отчетного квартала.</w:t>
      </w:r>
    </w:p>
    <w:p w14:paraId="5D6504D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200.01.020 IV предназначена для отражения итоговой суммы дохода за отчетный квартал, определяемой как сумма строк 200.01.020 I, 200.01.020 II и 200.01.020 III;</w:t>
      </w:r>
    </w:p>
    <w:p w14:paraId="0776C6A8" w14:textId="54B90CB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200.01.021 I, 200.01.021 II и 200.01.021 III предназначены для отражения суммы доходов, применяемых для исчисления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5DE85F04" w14:textId="46FF7F59"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Строка 200.01.021 IV предназначена для отражения итоговой суммы доходов за отчетный квартал, определяемой как сумма строк 200.01.021 I, 200.01.021 II и 200.01.021 III.</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1D093A3A" w14:textId="3FB9F57E"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E51DC8">
        <w:rPr>
          <w:rFonts w:ascii="Times New Roman" w:eastAsia="Times New Roman" w:hAnsi="Times New Roman" w:cs="Times New Roman"/>
          <w:b/>
          <w:bCs/>
          <w:sz w:val="24"/>
          <w:szCs w:val="24"/>
          <w:lang w:eastAsia="ru-RU"/>
        </w:rPr>
        <w:t>Глава 4. Пояснение по заполнению формы 200.02 – Исчисление ИПН с доходов иностранцев и лиц без гражданства</w:t>
      </w:r>
    </w:p>
    <w:p w14:paraId="060B71E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Данная форма предназначена для отражения налоговым агентом сумм доходов, начисленных, в том числе работникам – иностранцам и лицам без гражданства, сумм, исчисленных налоговым агентом сумм ИПН с доходов иностранцев и лиц без гражданства, за исключением плательщиков единого платежа с доходов работников иностранцев и лиц без гражданства, признанных в целях налогообложения резидентами Республики Казахстан, а также отражению исчисленных сумм ИПН, социального налога, сумм социальных платежей с таких доходов,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001D728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Форма составляется по итогам квартала и представляется вместе с декларацией, а также при представлении декларации с отметкой в ячейке 4 вида декларации "Ликвидационная".</w:t>
      </w:r>
    </w:p>
    <w:p w14:paraId="04C0579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23. В разделе "Исчисление ИПН с доходов иностранцев и лиц без гражданства":</w:t>
      </w:r>
    </w:p>
    <w:p w14:paraId="61EC7FC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графе А проставляется очередной порядковый номер;</w:t>
      </w:r>
    </w:p>
    <w:p w14:paraId="48EE507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в графе B указываются фамилия, имя, отчество (при его наличии) иностранцев и лиц без гражданства, которым были начислены, выплачены доходы в отчетном квартале.</w:t>
      </w:r>
    </w:p>
    <w:p w14:paraId="7992ADA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При этом, в графе В указывается полное фамилия, имя, отчество иностранцев и лиц без гражданства строго согласно паспортным данным и/или </w:t>
      </w:r>
      <w:proofErr w:type="gramStart"/>
      <w:r w:rsidRPr="00E51DC8">
        <w:rPr>
          <w:rFonts w:ascii="Times New Roman" w:eastAsia="Times New Roman" w:hAnsi="Times New Roman" w:cs="Times New Roman"/>
          <w:spacing w:val="2"/>
          <w:sz w:val="24"/>
          <w:szCs w:val="24"/>
          <w:lang w:eastAsia="ru-RU"/>
        </w:rPr>
        <w:t>документа</w:t>
      </w:r>
      <w:proofErr w:type="gramEnd"/>
      <w:r w:rsidRPr="00E51DC8">
        <w:rPr>
          <w:rFonts w:ascii="Times New Roman" w:eastAsia="Times New Roman" w:hAnsi="Times New Roman" w:cs="Times New Roman"/>
          <w:spacing w:val="2"/>
          <w:sz w:val="24"/>
          <w:szCs w:val="24"/>
          <w:lang w:eastAsia="ru-RU"/>
        </w:rPr>
        <w:t xml:space="preserve"> удостоверяющего личность;</w:t>
      </w:r>
    </w:p>
    <w:p w14:paraId="0B1C4B7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в графе C указываются ИИН иностранцев и лиц без гражданства;</w:t>
      </w:r>
    </w:p>
    <w:p w14:paraId="5786E007" w14:textId="6B96A66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4) в графе D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6C4D4C4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Для лиц без гражданства в графе D указывается код "00";</w:t>
      </w:r>
    </w:p>
    <w:p w14:paraId="6C75050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 графе E указывается признак резидентства "1" – резидент, "2" – нерезидент;</w:t>
      </w:r>
    </w:p>
    <w:p w14:paraId="604FD741" w14:textId="752D7DA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в графе F указывается код страны резидентства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KZ – Республика Казахстан, DE – Федеративная Республика Германия, GB – Соединенное Королевство Великобритании и Северной Ирландии. Код оффшорных стран указан в пункте 38 Правил;</w:t>
      </w:r>
    </w:p>
    <w:p w14:paraId="7201CB7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в графе G указывается номер налоговой регистрации иностранцев и лиц без гражданства в стране резидентства.</w:t>
      </w:r>
    </w:p>
    <w:p w14:paraId="49E7F29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Данная графа заполняется при наличии у иностранцев и лиц без гражданства номера налоговой регистрации;</w:t>
      </w:r>
    </w:p>
    <w:p w14:paraId="6253756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в графе H указываются код вида документа, удостоверяющего личность иностранцев и лиц без гражданства, а также номер и дата выдачи данного документа.</w:t>
      </w:r>
    </w:p>
    <w:p w14:paraId="36CCFB9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заполнении декларации используется следующая кодировка видов документов, удостоверяющих личность иностранцев и лиц без гражданства:</w:t>
      </w:r>
    </w:p>
    <w:p w14:paraId="70DCA8A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01 – паспорт иностранного гражданина;</w:t>
      </w:r>
    </w:p>
    <w:p w14:paraId="5C3EA52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02 – удостоверение личности иностранного гражданина;</w:t>
      </w:r>
    </w:p>
    <w:p w14:paraId="6A52692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03 – паспорт моряка;</w:t>
      </w:r>
    </w:p>
    <w:p w14:paraId="7699393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04 – вид на жительство;</w:t>
      </w:r>
    </w:p>
    <w:p w14:paraId="6F35AFD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05 – другие документы;</w:t>
      </w:r>
    </w:p>
    <w:p w14:paraId="79A81E2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в графе I указывается код вида дохода, выплачиваемого иностранцу или лицу без гражданства, согласно пункту 34 настоящих Правил;</w:t>
      </w:r>
    </w:p>
    <w:p w14:paraId="419A9869" w14:textId="7FD52BA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в графе J указывается код вида международного договора согласно пункту 36 настоящих Правил, в соответствии с которым в отношении доходов, указанных в графе P, предусмотрен порядок налогообложения, отличный от порядка, установленного Налоговым кодексом.</w:t>
      </w:r>
    </w:p>
    <w:p w14:paraId="62D5DBE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Графа заполняется в случае, если налоговый агент применяет положения межгосударственного или межправительственного договора;</w:t>
      </w:r>
    </w:p>
    <w:p w14:paraId="4162B62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в графе K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02F3436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Графа заполняется, если налоговый агент применяет положения межгосударственного или межправительственного договора;</w:t>
      </w:r>
    </w:p>
    <w:p w14:paraId="496D673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в графе L указывается код страны, с которой заключен международный договор.</w:t>
      </w:r>
    </w:p>
    <w:p w14:paraId="051E5812" w14:textId="21881579"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Код страны указывается в соответствии с двузначной буквенной кодировкой, установленной в решении КТС № 378.</w:t>
      </w:r>
    </w:p>
    <w:p w14:paraId="78256AE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Графа заполняется, если налоговый агент применяет положения межгосударственного или межправительственного договора;</w:t>
      </w:r>
    </w:p>
    <w:p w14:paraId="4E82FAE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в графе M отмечается, если иностранец или лицо без гражданства, в соответствии со статьей 6 Конституционного закона является работником участника или органа МФЦА;</w:t>
      </w:r>
    </w:p>
    <w:p w14:paraId="11DF775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в графе N отмечается, если иностранец или лицо без гражданства, осуществляет деятельность в структурном подразделении юридического лица, не признанного налоговым агентом. Подлежит заполнению если заполнено приложение 200.03 за структурное подразделение;</w:t>
      </w:r>
    </w:p>
    <w:p w14:paraId="44F2D44C" w14:textId="408C6A1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15) в графе O указывается ставка подоходного налога у источника выплаты, установленная международным договором или статьями 646 и 320 Налогового кодекса;</w:t>
      </w:r>
    </w:p>
    <w:p w14:paraId="32C73337" w14:textId="73AFEA0B"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16) в графе P указываются начисленные доходы иностранцам и лицам без гражданства,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341 и 654 Налогового кодекса;</w:t>
      </w:r>
    </w:p>
    <w:p w14:paraId="1F048306" w14:textId="4A8127F5"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17) в графе Q указываются доходы иностранцев и лиц без гражданства, не подлежащие налогообложению в соответствии пунктом 1 статьи 341 и 654 Налогового кодекса.</w:t>
      </w:r>
    </w:p>
    <w:p w14:paraId="0B233FF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6258D452" w14:textId="4869211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18) в графе R указывается сумма доходов, не подлежащих налогообложения, в соответствии с пунктом 1 статьи 341 Налогового кодекса.</w:t>
      </w:r>
    </w:p>
    <w:p w14:paraId="04D62A7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2728583F" w14:textId="074603D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19) в графе S указывается сумма доходов, не подлежащих налогообложения, в соответствии со статьей 654 Налогового кодекса.</w:t>
      </w:r>
    </w:p>
    <w:p w14:paraId="51CE3F2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7058B172" w14:textId="17AB223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20) в графе T указываются суммы обязательных пенсионных взносов, исчисленные с начисленных доходов иностранцев и лиц без гражданства, в соответствии с Социальным кодексом и относимые на вычеты в соответствии с подпунктом 1) пункта 1 статьи 342 Налогового кодекса;</w:t>
      </w:r>
    </w:p>
    <w:p w14:paraId="159C682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21) в графе U указывается сумма взносов на обязательное социальное медицинское страхование, исчисленных с начисленных доходов;</w:t>
      </w:r>
    </w:p>
    <w:p w14:paraId="2C54CF9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22) в графе V указываются стандартные налоговые вычеты:</w:t>
      </w:r>
    </w:p>
    <w:p w14:paraId="4CAC1CB5" w14:textId="1D1A59E2"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01D63196" w14:textId="13BE017B"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882-кратный размер месячного расчетного показателя за календарный год в соответствии с подпунктом 2) пункта 1 статьи 346 Налогового кодекса;</w:t>
      </w:r>
    </w:p>
    <w:p w14:paraId="1138F534" w14:textId="24071D89"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882-кратный размер месячного расчетного показателя за календарный год в соответствии с подпунктом 3) пункта 1 статьи 346 Налогового кодекса.</w:t>
      </w:r>
    </w:p>
    <w:p w14:paraId="512377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иностранца и лица без гражданства, применено несколько видов стандартных налоговых вычетов, каждый вид налогового вычета подлежит заполнению отдельной строкой;</w:t>
      </w:r>
    </w:p>
    <w:p w14:paraId="58B4EF0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23) в графе W указывается сумма стандартных налоговых вычетов.</w:t>
      </w:r>
    </w:p>
    <w:p w14:paraId="30423B2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77E3302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24) в графе X указываются прочие налоговые вычеты:</w:t>
      </w:r>
    </w:p>
    <w:p w14:paraId="61BC7B0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налоговый вычет по добровольным пенсионным взносам;</w:t>
      </w:r>
    </w:p>
    <w:p w14:paraId="16C984D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налоговый вычет на медицину;</w:t>
      </w:r>
    </w:p>
    <w:p w14:paraId="4BFA84F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налоговый вычет по вознаграждениям.</w:t>
      </w:r>
    </w:p>
    <w:p w14:paraId="64CB2B6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Если Приложение заполняется на бумажном носителе, и если к доходу иностранца и лица без гражданства применено несколько видов прочих налоговых вычетов, каждый вид налогового вычета подлежит заполнению отдельной строкой;</w:t>
      </w:r>
    </w:p>
    <w:p w14:paraId="614BFE8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25) в графе Y указывается сумму прочих налоговых вычетов.</w:t>
      </w:r>
    </w:p>
    <w:p w14:paraId="3B71710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Если Приложение заполняется на бумажном носителе, </w:t>
      </w:r>
      <w:proofErr w:type="gramStart"/>
      <w:r w:rsidRPr="00E51DC8">
        <w:rPr>
          <w:rFonts w:ascii="Times New Roman" w:eastAsia="Times New Roman" w:hAnsi="Times New Roman" w:cs="Times New Roman"/>
          <w:spacing w:val="2"/>
          <w:sz w:val="24"/>
          <w:szCs w:val="24"/>
          <w:lang w:eastAsia="ru-RU"/>
        </w:rPr>
        <w:t>и</w:t>
      </w:r>
      <w:proofErr w:type="gramEnd"/>
      <w:r w:rsidRPr="00E51DC8">
        <w:rPr>
          <w:rFonts w:ascii="Times New Roman" w:eastAsia="Times New Roman" w:hAnsi="Times New Roman" w:cs="Times New Roman"/>
          <w:spacing w:val="2"/>
          <w:sz w:val="24"/>
          <w:szCs w:val="24"/>
          <w:lang w:eastAsia="ru-RU"/>
        </w:rPr>
        <w:t xml:space="preserve">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0A0981B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26) в графе Z указываются суммы ИПН, исчисленного с доходов иностранцев и лиц без гражданства за отчетный квартал;</w:t>
      </w:r>
    </w:p>
    <w:p w14:paraId="29C22C7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27) в графе AA указывается сумма задолженности по начисленным, но невыплаченным доходам физических лиц за отчетный квартал;</w:t>
      </w:r>
    </w:p>
    <w:p w14:paraId="193082B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28) в графе АB указывается сумма выплаченных иностранцам и лицам без гражданства доходов;</w:t>
      </w:r>
    </w:p>
    <w:p w14:paraId="751248E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29) в графе АC указывается сумма индивидуального подоходного налога, подлежащего уплате в бюджет;</w:t>
      </w:r>
    </w:p>
    <w:p w14:paraId="598434F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30) в графе AD указывается сумма обязательных пенсионных взносов, подлежащих перечислению;</w:t>
      </w:r>
    </w:p>
    <w:p w14:paraId="3FEFC5D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31) в графе AE указывается сумма взносов на ОСМС, подлежащих перечислению;</w:t>
      </w:r>
    </w:p>
    <w:p w14:paraId="6C84823E" w14:textId="27FAF84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32) в графе AF указываются суммы доходов, не облагаемые социальным налогом, в соответствии с подпунктом 4) и 5) пункта 3 статьи 484 Налогового кодекса;</w:t>
      </w:r>
    </w:p>
    <w:p w14:paraId="328581E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33) в графе AG указываются доходы, облагаемые социальным налогом;</w:t>
      </w:r>
    </w:p>
    <w:p w14:paraId="46D46A3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34) в графе AH указывается сумма исчисленного с начисленных доходов социального налога;</w:t>
      </w:r>
    </w:p>
    <w:p w14:paraId="5DFC3CF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35) в графе AI указывается сумма социальных отчислений, начисленных в соответствии с законодательством Республики Казахстан;</w:t>
      </w:r>
    </w:p>
    <w:p w14:paraId="30BAA56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36) в графе AJ указывается сумма социального налога, подлежащего уплате в бюджет;</w:t>
      </w:r>
    </w:p>
    <w:p w14:paraId="0368D8B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37) в графе АK указывается сумма обязательных профессиональных пенсионных взносов, подлежащих уплате;</w:t>
      </w:r>
    </w:p>
    <w:p w14:paraId="684F561F" w14:textId="089848C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38) в графе АL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309A8BBE" w14:textId="77C108E5"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lastRenderedPageBreak/>
        <w:t>      39) в графе АM указывается сумма обязательных пенсионных взносов работодателя, подлежащих уплате.</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0F591F3B" w14:textId="437F27DC"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E51DC8">
        <w:rPr>
          <w:rFonts w:ascii="Times New Roman" w:eastAsia="Times New Roman" w:hAnsi="Times New Roman" w:cs="Times New Roman"/>
          <w:b/>
          <w:bCs/>
          <w:sz w:val="24"/>
          <w:szCs w:val="24"/>
          <w:lang w:eastAsia="ru-RU"/>
        </w:rPr>
        <w:t>Глава 5. Пояснение по заполнению формы 200.03 – Исчисление суммы индивидуального подоходного налога и социального налога по структурному подразделению</w:t>
      </w:r>
    </w:p>
    <w:p w14:paraId="690FDF5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Данная форма предназначена для исчисления юридическим лицом-налоговым агентом суммы ИПН,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 за исключением указанных сумм ИПН и социальных платежей в составе единого платежа, подлежащих уплате по филиалу/представительству, не признанных налоговыми агентами по ИПН и самостоятельными плательщиками по социальному налогу, с доходов, начисленных физическим лицам (работникам и физическим лицам по договорам гражданско-правового характера), в том числе иностранцам и лицам без гражданства.</w:t>
      </w:r>
    </w:p>
    <w:p w14:paraId="20F8F730" w14:textId="02DB0771"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24. Форма составляется юридическим лицом по каждому филиалу/представительству в соответствии со статьями 353, 358, 486 и 489 Налогового кодекса.</w:t>
      </w:r>
    </w:p>
    <w:p w14:paraId="0A2F9E5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25. В разделе "Общая информация о налогоплательщике (налоговом агенте, плательщики единого платежа, агенте или плательщике социальных платежей)":</w:t>
      </w:r>
    </w:p>
    <w:p w14:paraId="5FDA486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БИН налогового агента.</w:t>
      </w:r>
    </w:p>
    <w:p w14:paraId="54182DE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БИН доверительного управляющего;</w:t>
      </w:r>
    </w:p>
    <w:p w14:paraId="3EA596E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наименование налогового агента – наименование юридического лица в соответствии с учредительными документами.</w:t>
      </w:r>
    </w:p>
    <w:p w14:paraId="719B57F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наименование юридического лица-доверительного управляющего;</w:t>
      </w:r>
    </w:p>
    <w:p w14:paraId="6F8B5B9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код органа государственных доходов по месту регистрационного учета налогового агента – код органа государственных доходов по месту регистрационного учета юридического лица;</w:t>
      </w:r>
    </w:p>
    <w:p w14:paraId="504602E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налоговый период, за который представляется налоговая отчетность (квартал, год) – квартал, в который входят отчетные налоговые периоды (указывается арабскими цифрами);</w:t>
      </w:r>
    </w:p>
    <w:p w14:paraId="28EB322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вид налоговой отчетности.</w:t>
      </w:r>
    </w:p>
    <w:p w14:paraId="61F03698" w14:textId="657D24E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Соответствующие ячейки отмечаются с учетом отнесения декларации к видам налоговой отчетности, указанным в статье 206 Налогового кодекса;</w:t>
      </w:r>
    </w:p>
    <w:p w14:paraId="576B4E0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номер и дата уведомления.</w:t>
      </w:r>
    </w:p>
    <w:p w14:paraId="4A9DDA41" w14:textId="3E990CC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Строки заполняются в случае представления вида декларации, предусмотренного подпунктом 4) пункта 3 статьи 206 Налогового кодекса;</w:t>
      </w:r>
    </w:p>
    <w:p w14:paraId="24CADCC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БИН филиала/представительства;</w:t>
      </w:r>
    </w:p>
    <w:p w14:paraId="1584D77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наименование филиала/представительства – наименование филиала/представительства в соответствии с учредительными документами;</w:t>
      </w:r>
    </w:p>
    <w:p w14:paraId="244A14B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код органа государственных доходов по месту регистрационного учета филиала/представительства – код органа государственных доходов по месту регистрационного учета филиала/представительства;</w:t>
      </w:r>
    </w:p>
    <w:p w14:paraId="490A9F2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Общая численность работников (человек) по филиалу/представительству – численность работников, в том числе работников иностранцев и лиц без гражданства, которым начислены доходы в отчетном квартале. При представлении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37897F9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26. В разделе "Расчетные показатели":</w:t>
      </w:r>
    </w:p>
    <w:p w14:paraId="30F1134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200.03.001 I, 200.03.001 II и 200.03.001 III предназначены для отражения суммы ИПН, исчисленного с доходов, выплаченных физическим лицам, и подлежащего перечислению в бюджет по филиалу/представительству за каждый месяц отчетного квартала.</w:t>
      </w:r>
    </w:p>
    <w:p w14:paraId="2B7C9C6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200.03.001 IV предназначена для отражения итоговой суммы налога за отчетный квартал, определяемой как сумма строк 200.03.001 I, 200.03.001 II и 200.03.001 III;</w:t>
      </w:r>
    </w:p>
    <w:p w14:paraId="6689C615" w14:textId="14BF6158"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200.03.002 I, 200.03.002 II и 200.03.002 III предназначены для отражения суммы обязательных пенсионных взносов, исчисленных с выплаченных доходов физических лиц и подлежащих перечислению в ЕНПФ по филиалу/представительству за каждый месяц отчетного квартала, в соответствии с Социальным кодексом.</w:t>
      </w:r>
    </w:p>
    <w:p w14:paraId="4E80EE3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200.03.002 IV предназначена для отражения итоговой суммы обязательных пенсионных взносов за отчетный квартал, определяемой как сумма строк 200.03.002 I, 200.03.002 II и 200.03.002 III;</w:t>
      </w:r>
    </w:p>
    <w:p w14:paraId="433FA4F9" w14:textId="48B8E90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200.03.003 I, 200.03.003 II и 200.03.003 III предназначены для отражения суммы обязательных профессиональных пенсионных взносов,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p>
    <w:p w14:paraId="7BA8BAF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200.03.003 IV предназначена для отражения итоговой суммы обязательных профессиональных пенсионных взносов за отчетный квартал, определяемой как сумма строк 200.03.003 I, 200.03.003 II и 200.03.003 III;</w:t>
      </w:r>
    </w:p>
    <w:p w14:paraId="131AC0F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строки 200.03.004 I, 200.03.004 II и 200.03.004 III предназначены для отражения суммы социального налога по филиалу/представительству за каждый месяц отчетного квартала.</w:t>
      </w:r>
    </w:p>
    <w:p w14:paraId="0469DF8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Строка 200.03.004 IV предназначена для отражения итоговой суммы налога за отчетный квартал, определяемой как сумма строк 200.03.004 I, 200.03.004 II и 200.03.004 III;</w:t>
      </w:r>
    </w:p>
    <w:p w14:paraId="6CB049E7" w14:textId="5B975D9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строки 200.03.005 I, 200.03.005 II и 200.03.005 III предназначены для отражения суммы социальных отчислений по филиалу/представительству в каждом месяце отчетного квартала, определяемых в соответствии с Социальным кодексом.</w:t>
      </w:r>
    </w:p>
    <w:p w14:paraId="42100E4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200.03.005 IV предназначена для отражения итоговой суммы социальных отчислений за отчетный квартал, определяемой как сумма строк 200.03.005 I, 200.03.005 II и 200.03.005 III;</w:t>
      </w:r>
    </w:p>
    <w:p w14:paraId="7D0111F5" w14:textId="73218F06"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строки 200.03.006 I, 200.03.006 II и 200.03.006 III предназначены для отражения суммы отчислений на ОСМС в соответствии с Законом об обязательном социальном медицинском страховании в каждом месяце отчетного квартала.</w:t>
      </w:r>
    </w:p>
    <w:p w14:paraId="2D1AE57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200.03.006 IV предназначена для отражения итоговой суммы отчислений за отчетный квартал, определяемой как сумма строк 200.03.006 I, 200.03.006 II и 200.03.006 III;</w:t>
      </w:r>
    </w:p>
    <w:p w14:paraId="7BE274B9" w14:textId="1E10923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строки 200.03.007 I, 200.03.007 II и 200.03.007 III предназначены для отражения суммы взносов на ОСМС в соответствии с Законом об обязательном социальном медицинском страховании с доходов работников в соответствии с Законом об обязательном социальном медицинском страховании,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 в каждом месяце отчетного квартала.</w:t>
      </w:r>
    </w:p>
    <w:p w14:paraId="39A4E3A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200.03.007 IV предназначена для отражения итоговой суммы взносов за отчетный квартал, определяемой как сумма строк 200.03.007 I, 200.03.007 II и 200.03.007 III;</w:t>
      </w:r>
    </w:p>
    <w:p w14:paraId="05BD6C3C" w14:textId="2495039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строки 200.03.008 I, 200.03.008 II и 200.03.008 III предназначены для отражения суммы обязательных пенсионных взносов работодателя,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p>
    <w:p w14:paraId="4EEDFDF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200.03.008 IV предназначена для отражения итоговой суммы обязательных пенсионных взносов работодателя за отчетный квартал, определяемой как сумма строк 200.03.008 I, 200.03.008 II и 200.03.008 III;</w:t>
      </w:r>
    </w:p>
    <w:p w14:paraId="1B356B44" w14:textId="580CD670"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строки 200.03.009 I, 200.03.009 II и 200.03.009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и Законом об обязательном социальном медицинском страховании.</w:t>
      </w:r>
    </w:p>
    <w:p w14:paraId="6B60C47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200.03.009 IV предназначена для отражения итоговой суммы единого платежа за отчетный квартал, определяемой как сумма строк 200.03.009 I, 200.03.009 II и 200.03.009 III.</w:t>
      </w:r>
    </w:p>
    <w:p w14:paraId="7A5D6B2E" w14:textId="257A08C8" w:rsidR="00BC492E" w:rsidRPr="00E51DC8" w:rsidRDefault="00BC492E" w:rsidP="00E51DC8">
      <w:pPr>
        <w:spacing w:after="0" w:line="240" w:lineRule="auto"/>
        <w:jc w:val="both"/>
        <w:rPr>
          <w:rFonts w:ascii="Times New Roman" w:eastAsia="Times New Roman" w:hAnsi="Times New Roman" w:cs="Times New Roman"/>
          <w:sz w:val="24"/>
          <w:szCs w:val="24"/>
          <w:lang w:eastAsia="ru-RU"/>
        </w:rPr>
      </w:pPr>
      <w:r w:rsidRPr="00E51DC8">
        <w:rPr>
          <w:rFonts w:ascii="Times New Roman" w:eastAsia="Times New Roman" w:hAnsi="Times New Roman" w:cs="Times New Roman"/>
          <w:sz w:val="24"/>
          <w:szCs w:val="24"/>
          <w:bdr w:val="none" w:sz="0" w:space="0" w:color="auto" w:frame="1"/>
          <w:shd w:val="clear" w:color="auto" w:fill="FFFFFF"/>
          <w:lang w:eastAsia="ru-RU"/>
        </w:rPr>
        <w:lastRenderedPageBreak/>
        <w:t>      Сноска. Пункт 26 с изменением, внесенным приказом Заместителя Премьер-Министра - Министра финансов РК от 30.06.2023 </w:t>
      </w:r>
      <w:r w:rsidRPr="00E51DC8">
        <w:rPr>
          <w:rFonts w:ascii="Times New Roman" w:eastAsia="Times New Roman" w:hAnsi="Times New Roman" w:cs="Times New Roman"/>
          <w:sz w:val="24"/>
          <w:szCs w:val="24"/>
          <w:shd w:val="clear" w:color="auto" w:fill="FFFFFF"/>
          <w:lang w:eastAsia="ru-RU"/>
        </w:rPr>
        <w:t>№ 724</w:t>
      </w:r>
      <w:r w:rsidRPr="00E51DC8">
        <w:rPr>
          <w:rFonts w:ascii="Times New Roman" w:eastAsia="Times New Roman" w:hAnsi="Times New Roman" w:cs="Times New Roman"/>
          <w:sz w:val="24"/>
          <w:szCs w:val="24"/>
          <w:bdr w:val="none" w:sz="0" w:space="0" w:color="auto" w:frame="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E51DC8">
        <w:rPr>
          <w:rFonts w:ascii="Times New Roman" w:eastAsia="Times New Roman" w:hAnsi="Times New Roman" w:cs="Times New Roman"/>
          <w:sz w:val="24"/>
          <w:szCs w:val="24"/>
          <w:lang w:eastAsia="ru-RU"/>
        </w:rPr>
        <w:br/>
      </w:r>
    </w:p>
    <w:p w14:paraId="6CE5CA3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27. В разделе "Ответственность налогового агента":</w:t>
      </w:r>
    </w:p>
    <w:p w14:paraId="468B2EE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и (или) распорядительными документами.</w:t>
      </w:r>
    </w:p>
    <w:p w14:paraId="6492C05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6CEA79F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дата подачи – дата представления формы 200.03 в орган государственных доходов;</w:t>
      </w:r>
    </w:p>
    <w:p w14:paraId="7A55CBD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код органа государственных доходов – бенефициара по ИПН и социальному налогу, по месту регистрационного учета филиала/представительства;</w:t>
      </w:r>
    </w:p>
    <w:p w14:paraId="4879486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код органа государственных доходов – бенефициара по социальным платежам, по месту нахождения филиала/представительства;</w:t>
      </w:r>
    </w:p>
    <w:p w14:paraId="6FDC514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 поле "Фамилия, имя, отчество (при его наличии) должностного лица, принявшего форму" указываются фамилия, имя, отчество (при его наличии) работника органа государственных доходов, принявшего форму 200.03;</w:t>
      </w:r>
    </w:p>
    <w:p w14:paraId="72277FF6" w14:textId="1B730411"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дата приема – дата представления формы 200.03 в соответствии с пунктом 2 статьи 209 Налогового кодекса;</w:t>
      </w:r>
    </w:p>
    <w:p w14:paraId="7064F8C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входящий номер документа – регистрационный номер формы 200.03, присваиваемый органом государственных доходов;</w:t>
      </w:r>
    </w:p>
    <w:p w14:paraId="6CA8C03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дата почтового штемпеля – дата почтового штемпеля, проставленного почтовой или иной организацией связи.</w:t>
      </w:r>
    </w:p>
    <w:p w14:paraId="20E3A4D3"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E51DC8">
        <w:rPr>
          <w:rFonts w:ascii="Times New Roman" w:eastAsia="Times New Roman" w:hAnsi="Times New Roman" w:cs="Times New Roman"/>
          <w:b/>
          <w:bCs/>
          <w:sz w:val="24"/>
          <w:szCs w:val="24"/>
          <w:lang w:eastAsia="ru-RU"/>
        </w:rPr>
        <w:t>Глава 6. Пояснение по заполнению формы 200.04 – Исчисление социального налога налогоплательщиками, работающими по контракту</w:t>
      </w:r>
    </w:p>
    <w:p w14:paraId="58370333" w14:textId="723603B1"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28. Данная форма предназначена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722 Налогового кодекса (далее – контракты). Форма составляется по каждому контракту отдельно.</w:t>
      </w:r>
    </w:p>
    <w:p w14:paraId="51829F7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29. В разделе "Общая информация о налогоплательщике (налоговом агенте, агенте или плательщике социальных платежей)":</w:t>
      </w:r>
    </w:p>
    <w:p w14:paraId="1B2D175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ИИН (БИН) налогоплательщика.</w:t>
      </w:r>
    </w:p>
    <w:p w14:paraId="2BE610E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При исполнении налогового обязательства доверительным управляющим в строке указывается ИИН (БИН) доверительного управляющего;</w:t>
      </w:r>
    </w:p>
    <w:p w14:paraId="3423E1D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5F9AA54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в строке "Численность работников (человек), в том числе" указывается численность работников, с выделением работников-иностранных специалистов и работников-иностранных рабочих;</w:t>
      </w:r>
    </w:p>
    <w:p w14:paraId="4AC28D6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в строке "Реквизиты контракта" указываются реквизиты контракта:</w:t>
      </w:r>
    </w:p>
    <w:p w14:paraId="24B7534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А – номер контракта;</w:t>
      </w:r>
    </w:p>
    <w:p w14:paraId="2802A0B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В – дата заключения контракта.</w:t>
      </w:r>
    </w:p>
    <w:p w14:paraId="07DD334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30. 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4C03E7C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4CDEB83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Строка 200.04.001 IV предназначена для отражения итоговой суммы доходов за отчетный квартал, определяемой как сумма строк 200.04.001 I, 200.04.001 II и 200.04.001 III;</w:t>
      </w:r>
    </w:p>
    <w:p w14:paraId="174E25C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2C0BBFD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59CBB408"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E51DC8">
        <w:rPr>
          <w:rFonts w:ascii="Times New Roman" w:eastAsia="Times New Roman" w:hAnsi="Times New Roman" w:cs="Times New Roman"/>
          <w:b/>
          <w:bCs/>
          <w:sz w:val="24"/>
          <w:szCs w:val="24"/>
          <w:lang w:eastAsia="ru-RU"/>
        </w:rPr>
        <w:t>Глава 7. Пояснение по заполнению формы 200.05 – Исчисление налогов и социальных платежей по доходам физических лиц</w:t>
      </w:r>
    </w:p>
    <w:p w14:paraId="76C68CB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31. Данная форма предназначена для исчисления налогов и социальных платежей с доходов физических лиц, облагаемых у источника выплаты, за исключением иностранцев и лиц без гражданства.</w:t>
      </w:r>
    </w:p>
    <w:p w14:paraId="3A1050D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32. В разделе "Общая информация о налогоплательщике (налоговом агенте, агенте или плательщике социальных платежей)":</w:t>
      </w:r>
    </w:p>
    <w:p w14:paraId="1EF95F2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 ИИН (БИН) налогоплательщика.</w:t>
      </w:r>
    </w:p>
    <w:p w14:paraId="5FC362D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ИИН (БИН) доверительного управляющего;</w:t>
      </w:r>
    </w:p>
    <w:p w14:paraId="65B36A2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2EFC662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33. В разделе "Исчисление налогов и социальных платежей с доходов физических лиц":</w:t>
      </w:r>
    </w:p>
    <w:p w14:paraId="23E70BE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графе А проставляется очередной порядковый номер;</w:t>
      </w:r>
    </w:p>
    <w:p w14:paraId="71BF954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в графе В указываются фамилия, имя, отчество (при его наличии) физических лиц, которым начислены доходы в отчетном квартале;</w:t>
      </w:r>
    </w:p>
    <w:p w14:paraId="5DCF674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в графе C указываются ИИН физических лиц;</w:t>
      </w:r>
    </w:p>
    <w:p w14:paraId="78BA644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в графе D указывается статус физического лица:</w:t>
      </w:r>
    </w:p>
    <w:p w14:paraId="21A54B2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физическое лицо,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5D404DA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физическое лицо,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06F0455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физическое лицо, получившее доход в виде выигрыша;</w:t>
      </w:r>
    </w:p>
    <w:p w14:paraId="4AA087C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 физическое лицо, получившее доходы в виде пенсионных выплат;</w:t>
      </w:r>
    </w:p>
    <w:p w14:paraId="0B86869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5 – физическое лицо, получившее доходы в виде вознаграждения по операциям </w:t>
      </w:r>
      <w:proofErr w:type="spellStart"/>
      <w:r w:rsidRPr="00E51DC8">
        <w:rPr>
          <w:rFonts w:ascii="Times New Roman" w:eastAsia="Times New Roman" w:hAnsi="Times New Roman" w:cs="Times New Roman"/>
          <w:spacing w:val="2"/>
          <w:sz w:val="24"/>
          <w:szCs w:val="24"/>
          <w:lang w:eastAsia="ru-RU"/>
        </w:rPr>
        <w:t>репо</w:t>
      </w:r>
      <w:proofErr w:type="spellEnd"/>
      <w:r w:rsidRPr="00E51DC8">
        <w:rPr>
          <w:rFonts w:ascii="Times New Roman" w:eastAsia="Times New Roman" w:hAnsi="Times New Roman" w:cs="Times New Roman"/>
          <w:spacing w:val="2"/>
          <w:sz w:val="24"/>
          <w:szCs w:val="24"/>
          <w:lang w:eastAsia="ru-RU"/>
        </w:rPr>
        <w:t>;</w:t>
      </w:r>
    </w:p>
    <w:p w14:paraId="42E6DEE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6 – физическое лицо, получившее доходы в виде вознаграждений, за исключением вознаграждения по операциям </w:t>
      </w:r>
      <w:proofErr w:type="spellStart"/>
      <w:r w:rsidRPr="00E51DC8">
        <w:rPr>
          <w:rFonts w:ascii="Times New Roman" w:eastAsia="Times New Roman" w:hAnsi="Times New Roman" w:cs="Times New Roman"/>
          <w:spacing w:val="2"/>
          <w:sz w:val="24"/>
          <w:szCs w:val="24"/>
          <w:lang w:eastAsia="ru-RU"/>
        </w:rPr>
        <w:t>репо</w:t>
      </w:r>
      <w:proofErr w:type="spellEnd"/>
      <w:r w:rsidRPr="00E51DC8">
        <w:rPr>
          <w:rFonts w:ascii="Times New Roman" w:eastAsia="Times New Roman" w:hAnsi="Times New Roman" w:cs="Times New Roman"/>
          <w:spacing w:val="2"/>
          <w:sz w:val="24"/>
          <w:szCs w:val="24"/>
          <w:lang w:eastAsia="ru-RU"/>
        </w:rPr>
        <w:t>;</w:t>
      </w:r>
    </w:p>
    <w:p w14:paraId="2E02CBD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 физическое лицо, получившее доходы в виде дивидендов;</w:t>
      </w:r>
    </w:p>
    <w:p w14:paraId="3C51E0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 физическое лицо, получившее доходы в виде стипендий;</w:t>
      </w:r>
    </w:p>
    <w:p w14:paraId="2C27043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 физическое лицо, получившее доходы по договорам накопительного страхования;</w:t>
      </w:r>
    </w:p>
    <w:p w14:paraId="6FD9276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 физическое лицо, получившее доходы от личного подсобного хозяйства;</w:t>
      </w:r>
    </w:p>
    <w:p w14:paraId="78C9F64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11 – физическое лицо, получившее иные доходы, облагаемые у источника выплаты, за исключением указанных выше.</w:t>
      </w:r>
    </w:p>
    <w:p w14:paraId="76F9196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4D50F6C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 графе E указывается категория физического лица:</w:t>
      </w:r>
    </w:p>
    <w:p w14:paraId="3619546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пенсионер;</w:t>
      </w:r>
    </w:p>
    <w:p w14:paraId="04C851F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лицо с инвалидностью;</w:t>
      </w:r>
    </w:p>
    <w:p w14:paraId="13FCE99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лицо, приравненное к участникам Великой Отечественной войны и/или являющееся ветераном боевых действий на территории других государств;</w:t>
      </w:r>
    </w:p>
    <w:p w14:paraId="689AFC0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1CC4A4F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 усыновитель (</w:t>
      </w:r>
      <w:proofErr w:type="spellStart"/>
      <w:r w:rsidRPr="00E51DC8">
        <w:rPr>
          <w:rFonts w:ascii="Times New Roman" w:eastAsia="Times New Roman" w:hAnsi="Times New Roman" w:cs="Times New Roman"/>
          <w:spacing w:val="2"/>
          <w:sz w:val="24"/>
          <w:szCs w:val="24"/>
          <w:lang w:eastAsia="ru-RU"/>
        </w:rPr>
        <w:t>удочеритель</w:t>
      </w:r>
      <w:proofErr w:type="spellEnd"/>
      <w:r w:rsidRPr="00E51DC8">
        <w:rPr>
          <w:rFonts w:ascii="Times New Roman" w:eastAsia="Times New Roman" w:hAnsi="Times New Roman" w:cs="Times New Roman"/>
          <w:spacing w:val="2"/>
          <w:sz w:val="24"/>
          <w:szCs w:val="24"/>
          <w:lang w:eastAsia="ru-RU"/>
        </w:rPr>
        <w:t>) ребенка, не достигшего восемнадцатилетнего возраста;</w:t>
      </w:r>
    </w:p>
    <w:p w14:paraId="3EFA5A1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 приемный родитель, принявший детей-сирот и детей, оставшихся без попечения родителей, в приемную семью.</w:t>
      </w:r>
    </w:p>
    <w:p w14:paraId="255E4E6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физическое лицо имеет несколько категорий, категории указываются через запятую;</w:t>
      </w:r>
    </w:p>
    <w:p w14:paraId="2DF3053C" w14:textId="0253F701"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в графе F отмечается, если физическое лицо в соответствии со статьей 6 Конституционного закона является работником участника или органа МФЦА;</w:t>
      </w:r>
    </w:p>
    <w:p w14:paraId="5F1CA8A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7) в графе G отмечается если физическое лицо осуществляет деятельность в структурном подразделении </w:t>
      </w:r>
      <w:proofErr w:type="gramStart"/>
      <w:r w:rsidRPr="00E51DC8">
        <w:rPr>
          <w:rFonts w:ascii="Times New Roman" w:eastAsia="Times New Roman" w:hAnsi="Times New Roman" w:cs="Times New Roman"/>
          <w:spacing w:val="2"/>
          <w:sz w:val="24"/>
          <w:szCs w:val="24"/>
          <w:lang w:eastAsia="ru-RU"/>
        </w:rPr>
        <w:t>юридического лица</w:t>
      </w:r>
      <w:proofErr w:type="gramEnd"/>
      <w:r w:rsidRPr="00E51DC8">
        <w:rPr>
          <w:rFonts w:ascii="Times New Roman" w:eastAsia="Times New Roman" w:hAnsi="Times New Roman" w:cs="Times New Roman"/>
          <w:spacing w:val="2"/>
          <w:sz w:val="24"/>
          <w:szCs w:val="24"/>
          <w:lang w:eastAsia="ru-RU"/>
        </w:rPr>
        <w:t xml:space="preserve"> не признанном налоговым агентом. Подлежит заполнению если заполнено приложение 200.03 за структурное подразделение;</w:t>
      </w:r>
    </w:p>
    <w:p w14:paraId="697E46E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в графе H указывается начисленные физическим лицам доходы;</w:t>
      </w:r>
    </w:p>
    <w:p w14:paraId="2C724BDB" w14:textId="57EA69B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в графе I указывается корректировка согласно пункту 1 статьи 341 Налогового кодекса.</w:t>
      </w:r>
    </w:p>
    <w:p w14:paraId="37D4DEC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7C7390C5" w14:textId="4BB83A7B"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в графе J указывается сумма корректировки в соответствии с пунктом 1 статьи 341 Налогового кодекса.</w:t>
      </w:r>
    </w:p>
    <w:p w14:paraId="7885C7E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Если Приложение заполняется на бумажном носителе, </w:t>
      </w:r>
      <w:proofErr w:type="gramStart"/>
      <w:r w:rsidRPr="00E51DC8">
        <w:rPr>
          <w:rFonts w:ascii="Times New Roman" w:eastAsia="Times New Roman" w:hAnsi="Times New Roman" w:cs="Times New Roman"/>
          <w:spacing w:val="2"/>
          <w:sz w:val="24"/>
          <w:szCs w:val="24"/>
          <w:lang w:eastAsia="ru-RU"/>
        </w:rPr>
        <w:t>и</w:t>
      </w:r>
      <w:proofErr w:type="gramEnd"/>
      <w:r w:rsidRPr="00E51DC8">
        <w:rPr>
          <w:rFonts w:ascii="Times New Roman" w:eastAsia="Times New Roman" w:hAnsi="Times New Roman" w:cs="Times New Roman"/>
          <w:spacing w:val="2"/>
          <w:sz w:val="24"/>
          <w:szCs w:val="24"/>
          <w:lang w:eastAsia="ru-RU"/>
        </w:rPr>
        <w:t xml:space="preserve"> если к доходу физического лица применено несколько видов корректировки доходов, сумма в разрезе каждой из </w:t>
      </w:r>
      <w:r w:rsidRPr="00E51DC8">
        <w:rPr>
          <w:rFonts w:ascii="Times New Roman" w:eastAsia="Times New Roman" w:hAnsi="Times New Roman" w:cs="Times New Roman"/>
          <w:spacing w:val="2"/>
          <w:sz w:val="24"/>
          <w:szCs w:val="24"/>
          <w:lang w:eastAsia="ru-RU"/>
        </w:rPr>
        <w:lastRenderedPageBreak/>
        <w:t>перечисленных корректировок доходов подлежит заполнению отдельной строкой. В первой строке заполняется общая сумма корректировок;</w:t>
      </w:r>
    </w:p>
    <w:p w14:paraId="3F52F050" w14:textId="439E0A0A"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в графе К указывается сумма обязательных пенсионных взносов, исчисленных с начисленных доходов в соответствии с Социальным кодексом;</w:t>
      </w:r>
    </w:p>
    <w:p w14:paraId="6BDA0F9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в графе L указывается сумма взносов на обязательное социальное медицинское страхование, исчисленных с начисленных доходов;</w:t>
      </w:r>
    </w:p>
    <w:p w14:paraId="27950E9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в графе М указываются стандартные налоговые вычеты:</w:t>
      </w:r>
    </w:p>
    <w:p w14:paraId="1C5D7EB7" w14:textId="44A95789"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49D2ED60" w14:textId="3AE5FDFB"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882-кратный размер месячного расчетного показателя за календарный год в соответствии с подпунктом 2) пункта 1 статьи 346 Налогового кодекса;</w:t>
      </w:r>
    </w:p>
    <w:p w14:paraId="3BE94CE0" w14:textId="79EDBC5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882-кратный размер месячного расчетного показателя за календарный год в соответствии с подпунктом 3) пункта 1 статьи 346 Налогового кодекса.</w:t>
      </w:r>
    </w:p>
    <w:p w14:paraId="0036EE6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стандартных налоговых вычетов, каждый вид налогового вычета подлежит заполнению отдельной строкой;</w:t>
      </w:r>
    </w:p>
    <w:p w14:paraId="5665257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в графе N указывается сумма стандартных налоговых вычетов.</w:t>
      </w:r>
    </w:p>
    <w:p w14:paraId="015AE84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178CB2F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15) в графе О указываются прочие налоговые вычеты:</w:t>
      </w:r>
    </w:p>
    <w:p w14:paraId="0BB9C3A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налоговый вычет по добровольным пенсионным взносам;</w:t>
      </w:r>
    </w:p>
    <w:p w14:paraId="7092FB6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налоговый вычет на медицину;</w:t>
      </w:r>
    </w:p>
    <w:p w14:paraId="51C35C9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налоговый вычет по вознаграждениям.</w:t>
      </w:r>
    </w:p>
    <w:p w14:paraId="4EC32D7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Приложение заполняется на бумажном носителе, и если к доходу физического лица применено несколько видов прочих налоговых вычетов, каждый вид налогового вычета подлежит заполнению отдельной строкой;</w:t>
      </w:r>
    </w:p>
    <w:p w14:paraId="30B44C0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16) в графе Р указывается сумма прочих налоговых вычетов.</w:t>
      </w:r>
    </w:p>
    <w:p w14:paraId="0FD596E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xml:space="preserve">      Если Приложение заполняется на бумажном носителе, </w:t>
      </w:r>
      <w:proofErr w:type="gramStart"/>
      <w:r w:rsidRPr="00E51DC8">
        <w:rPr>
          <w:rFonts w:ascii="Times New Roman" w:eastAsia="Times New Roman" w:hAnsi="Times New Roman" w:cs="Times New Roman"/>
          <w:spacing w:val="2"/>
          <w:sz w:val="24"/>
          <w:szCs w:val="24"/>
          <w:lang w:eastAsia="ru-RU"/>
        </w:rPr>
        <w:t>и</w:t>
      </w:r>
      <w:proofErr w:type="gramEnd"/>
      <w:r w:rsidRPr="00E51DC8">
        <w:rPr>
          <w:rFonts w:ascii="Times New Roman" w:eastAsia="Times New Roman" w:hAnsi="Times New Roman" w:cs="Times New Roman"/>
          <w:spacing w:val="2"/>
          <w:sz w:val="24"/>
          <w:szCs w:val="24"/>
          <w:lang w:eastAsia="ru-RU"/>
        </w:rPr>
        <w:t xml:space="preserve">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100B57D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17) в графе Q указывается сумма индивидуального подоходного налога, исчисленного с начисленных доходов;</w:t>
      </w:r>
    </w:p>
    <w:p w14:paraId="1E359BD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18) в графе R указывается сумма задолженности по начисленным, но невыплаченным доходам физических лиц за отчетный квартал;</w:t>
      </w:r>
    </w:p>
    <w:p w14:paraId="09A92F1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19) в графе S указывается сумма выплаченных физическим лицам доходов;</w:t>
      </w:r>
    </w:p>
    <w:p w14:paraId="3A7FB1D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20) в графе Т указывается сумма индивидуального подоходного налога, подлежащего уплате в бюджет;</w:t>
      </w:r>
    </w:p>
    <w:p w14:paraId="4FD53E1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21) в графе U указывается сумма обязательных пенсионных взносов, подлежащих перечислению;</w:t>
      </w:r>
    </w:p>
    <w:p w14:paraId="42BC0E2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22) в графе V указывается сумма взносов на ОСМС, подлежащих перечислению;</w:t>
      </w:r>
    </w:p>
    <w:p w14:paraId="4377326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23) в графе W указываются суммы доходов, не облагаемые социальным налогом, в виде выплат на оплату труда работникам за счет средств грантов;</w:t>
      </w:r>
    </w:p>
    <w:p w14:paraId="4ED468A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24) в графе Х указываются доходы, облагаемые социальным налогом;</w:t>
      </w:r>
    </w:p>
    <w:p w14:paraId="45C008C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25) в графе Y указывается сумма исчисленного с начисленных доходов социального налога;</w:t>
      </w:r>
    </w:p>
    <w:p w14:paraId="731E0EB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26) в графе Z указывается сумма социальных отчислений, начисленных в соответствии с законодательством Республики Казахстан;</w:t>
      </w:r>
    </w:p>
    <w:p w14:paraId="63275A7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27) в графе AA указывается сумма социального налога, подлежащего уплате в бюджет;</w:t>
      </w:r>
    </w:p>
    <w:p w14:paraId="77C5AAD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28) в графе АВ указывается сумма обязательных профессиональных пенсионных взносов, подлежащих уплате;</w:t>
      </w:r>
    </w:p>
    <w:p w14:paraId="7537FBBA" w14:textId="770BBE8F"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29) в графе АС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2DC503A4" w14:textId="411943A1"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30) в графе АD указывается сумма обязательных пенсионных взносов работодателя, подлежащих уплате.</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7A297EB8"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E51DC8">
        <w:rPr>
          <w:rFonts w:ascii="Times New Roman" w:eastAsia="Times New Roman" w:hAnsi="Times New Roman" w:cs="Times New Roman"/>
          <w:b/>
          <w:bCs/>
          <w:sz w:val="24"/>
          <w:szCs w:val="24"/>
          <w:lang w:eastAsia="ru-RU"/>
        </w:rPr>
        <w:t>Глава 8. Пояснение по заполнению формы 200.06 – Исчисление единого платежа с доходов работников</w:t>
      </w:r>
    </w:p>
    <w:p w14:paraId="24EF5860" w14:textId="29EE899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34. Данная форма предназначена для исчисления единого платежа с доходов работников, в том числе с доходов работников иностранцев и лиц без гражданства, признанных в целях налогообложения резидентами Республики Казахстан, а также с доходов работников структурных подразделений, не признанных налоговыми агентами по ИПН и самостоятельными плательщиками по социальному налогу, в соответствии с главой 89-1 раздела 24-1 Налогового кодекса.</w:t>
      </w:r>
    </w:p>
    <w:p w14:paraId="55FF5A05" w14:textId="5D3AEAB4"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Форма составляется плательщиком единого платежа (в том числе структурных подразделений, признанных налоговыми агентами в соответствии со статьей 355 Налогового кодекса). При этом юридическое лицо (в том числе структурных подразделений, признанных налоговыми агентами в соответствии со статьей 355 Налогового кодекса) заполняет форму за себя и по каждому филиалу/представительству, не признанному налоговым агентом по ИПН и самостоятельным плательщиком по социальному налогу в соответствии со статьями 353, 358, 486 и 489 Налогового кодекса.</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402D5AC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35. В разделе "Общая информация о налогоплательщике (налоговом агенте, плательщике единого платежа, агенте или плательщике социальных платежей)":</w:t>
      </w:r>
    </w:p>
    <w:p w14:paraId="2700E39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ИИН (БИН) налогоплательщика.</w:t>
      </w:r>
    </w:p>
    <w:p w14:paraId="682789B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ИИН (БИН) доверительного управляющего;</w:t>
      </w:r>
    </w:p>
    <w:p w14:paraId="4FDA3ED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3FBB2AA3" w14:textId="6B98C85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3) БИН филиала/представительства.</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0A5F8AD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36. В разделе "Исчисление единого платежа с доходов работников":</w:t>
      </w:r>
    </w:p>
    <w:p w14:paraId="0E5EC3A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в графе А проставляется очередной порядковый номер;</w:t>
      </w:r>
    </w:p>
    <w:p w14:paraId="6484E48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в графе В указываются фамилия, имя, отчество (при его наличии) физических лиц, которым начислены доходы в отчетном периоде;</w:t>
      </w:r>
    </w:p>
    <w:p w14:paraId="59405A2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в графе C указываются ИИН физических лиц;</w:t>
      </w:r>
    </w:p>
    <w:p w14:paraId="14D0343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4) в графе D указывается категория физического лица:</w:t>
      </w:r>
    </w:p>
    <w:p w14:paraId="1270AB0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 – пенсионер;</w:t>
      </w:r>
    </w:p>
    <w:p w14:paraId="075D0A9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 – лицо с инвалидностью;</w:t>
      </w:r>
    </w:p>
    <w:p w14:paraId="176C632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 – лицо, приравненное к участникам Великой Отечественной войны и/или являющееся ветераном боевых действий на территории других государств;</w:t>
      </w:r>
    </w:p>
    <w:p w14:paraId="3423B0C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58414FD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 усыновитель (</w:t>
      </w:r>
      <w:proofErr w:type="spellStart"/>
      <w:r w:rsidRPr="00E51DC8">
        <w:rPr>
          <w:rFonts w:ascii="Times New Roman" w:eastAsia="Times New Roman" w:hAnsi="Times New Roman" w:cs="Times New Roman"/>
          <w:spacing w:val="2"/>
          <w:sz w:val="24"/>
          <w:szCs w:val="24"/>
          <w:lang w:eastAsia="ru-RU"/>
        </w:rPr>
        <w:t>удочеритель</w:t>
      </w:r>
      <w:proofErr w:type="spellEnd"/>
      <w:r w:rsidRPr="00E51DC8">
        <w:rPr>
          <w:rFonts w:ascii="Times New Roman" w:eastAsia="Times New Roman" w:hAnsi="Times New Roman" w:cs="Times New Roman"/>
          <w:spacing w:val="2"/>
          <w:sz w:val="24"/>
          <w:szCs w:val="24"/>
          <w:lang w:eastAsia="ru-RU"/>
        </w:rPr>
        <w:t>) ребенка, не достигшего восемнадцатилетнего возраста;</w:t>
      </w:r>
    </w:p>
    <w:p w14:paraId="5CA159A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 приемный родитель, принявший детей-сирот и детей, оставшихся без попечения родителей, в приемную семью;</w:t>
      </w:r>
    </w:p>
    <w:p w14:paraId="34FA28E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 дети;</w:t>
      </w:r>
    </w:p>
    <w:p w14:paraId="7BFEE9D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p>
    <w:p w14:paraId="7D5E06D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14:paraId="1B3869C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10 – многодетные матери, награжденные подвесками "Алтын </w:t>
      </w:r>
      <w:proofErr w:type="spellStart"/>
      <w:r w:rsidRPr="00E51DC8">
        <w:rPr>
          <w:rFonts w:ascii="Times New Roman" w:eastAsia="Times New Roman" w:hAnsi="Times New Roman" w:cs="Times New Roman"/>
          <w:spacing w:val="2"/>
          <w:sz w:val="24"/>
          <w:szCs w:val="24"/>
          <w:lang w:eastAsia="ru-RU"/>
        </w:rPr>
        <w:t>алқа</w:t>
      </w:r>
      <w:proofErr w:type="spellEnd"/>
      <w:r w:rsidRPr="00E51DC8">
        <w:rPr>
          <w:rFonts w:ascii="Times New Roman" w:eastAsia="Times New Roman" w:hAnsi="Times New Roman" w:cs="Times New Roman"/>
          <w:spacing w:val="2"/>
          <w:sz w:val="24"/>
          <w:szCs w:val="24"/>
          <w:lang w:eastAsia="ru-RU"/>
        </w:rPr>
        <w:t>", "</w:t>
      </w:r>
      <w:proofErr w:type="spellStart"/>
      <w:r w:rsidRPr="00E51DC8">
        <w:rPr>
          <w:rFonts w:ascii="Times New Roman" w:eastAsia="Times New Roman" w:hAnsi="Times New Roman" w:cs="Times New Roman"/>
          <w:spacing w:val="2"/>
          <w:sz w:val="24"/>
          <w:szCs w:val="24"/>
          <w:lang w:eastAsia="ru-RU"/>
        </w:rPr>
        <w:t>Күміс</w:t>
      </w:r>
      <w:proofErr w:type="spellEnd"/>
      <w:r w:rsidRPr="00E51DC8">
        <w:rPr>
          <w:rFonts w:ascii="Times New Roman" w:eastAsia="Times New Roman" w:hAnsi="Times New Roman" w:cs="Times New Roman"/>
          <w:spacing w:val="2"/>
          <w:sz w:val="24"/>
          <w:szCs w:val="24"/>
          <w:lang w:eastAsia="ru-RU"/>
        </w:rPr>
        <w:t xml:space="preserve"> </w:t>
      </w:r>
      <w:proofErr w:type="spellStart"/>
      <w:r w:rsidRPr="00E51DC8">
        <w:rPr>
          <w:rFonts w:ascii="Times New Roman" w:eastAsia="Times New Roman" w:hAnsi="Times New Roman" w:cs="Times New Roman"/>
          <w:spacing w:val="2"/>
          <w:sz w:val="24"/>
          <w:szCs w:val="24"/>
          <w:lang w:eastAsia="ru-RU"/>
        </w:rPr>
        <w:t>алқа</w:t>
      </w:r>
      <w:proofErr w:type="spellEnd"/>
      <w:r w:rsidRPr="00E51DC8">
        <w:rPr>
          <w:rFonts w:ascii="Times New Roman" w:eastAsia="Times New Roman" w:hAnsi="Times New Roman" w:cs="Times New Roman"/>
          <w:spacing w:val="2"/>
          <w:sz w:val="24"/>
          <w:szCs w:val="24"/>
          <w:lang w:eastAsia="ru-RU"/>
        </w:rPr>
        <w:t>" или получившие ранее звание "Мать-героиня", а также награжденные орденами "Материнская слава" I и II степени;</w:t>
      </w:r>
    </w:p>
    <w:p w14:paraId="5E3FAA4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11 – лица, обучающиеся по очной форме обучения в организациях среднего, технического и профессионального, </w:t>
      </w:r>
      <w:proofErr w:type="spellStart"/>
      <w:r w:rsidRPr="00E51DC8">
        <w:rPr>
          <w:rFonts w:ascii="Times New Roman" w:eastAsia="Times New Roman" w:hAnsi="Times New Roman" w:cs="Times New Roman"/>
          <w:spacing w:val="2"/>
          <w:sz w:val="24"/>
          <w:szCs w:val="24"/>
          <w:lang w:eastAsia="ru-RU"/>
        </w:rPr>
        <w:t>послесреднего</w:t>
      </w:r>
      <w:proofErr w:type="spellEnd"/>
      <w:r w:rsidRPr="00E51DC8">
        <w:rPr>
          <w:rFonts w:ascii="Times New Roman" w:eastAsia="Times New Roman" w:hAnsi="Times New Roman" w:cs="Times New Roman"/>
          <w:spacing w:val="2"/>
          <w:sz w:val="24"/>
          <w:szCs w:val="24"/>
          <w:lang w:eastAsia="ru-RU"/>
        </w:rPr>
        <w:t>, высшего образования, а также послевузовского образования;</w:t>
      </w:r>
    </w:p>
    <w:p w14:paraId="4B74203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Если физическое лицо имеет несколько категорий, категории указываются через запятую.</w:t>
      </w:r>
    </w:p>
    <w:p w14:paraId="410591B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5) в графе E указывается начисленные работникам доходы;</w:t>
      </w:r>
    </w:p>
    <w:p w14:paraId="0DB3CCE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6) в графе F указывается сумма единого платежа, исчисленного с начисленных доходов;</w:t>
      </w:r>
    </w:p>
    <w:p w14:paraId="45C7C4C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7) в графе G указывается сумма индивидуального подоходного налога, подлежащего уплате в бюджет;</w:t>
      </w:r>
    </w:p>
    <w:p w14:paraId="1BD5F05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8) в графе H указывается сумма обязательных пенсионных взносов, подлежащих перечислению;</w:t>
      </w:r>
    </w:p>
    <w:p w14:paraId="7972542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9) в графе I указывается сумма взносов на ОСМС, подлежащих перечислению;</w:t>
      </w:r>
    </w:p>
    <w:p w14:paraId="32145E59" w14:textId="3CAFC24D"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в графе J указывается сумма социальных отчислений, начисленных в соответствии с Социальным кодексом;</w:t>
      </w:r>
    </w:p>
    <w:p w14:paraId="52745D10" w14:textId="5BC3C20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в графе К указывается сумма отчислений на ОСМС в соответствии с Законом об обязательном социальном медицинском страховании, подлежащих уплате;</w:t>
      </w:r>
    </w:p>
    <w:p w14:paraId="55231BC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12) в графе L указывается сумма обязательных пенсионных взносов работодателя, подлежащих перечислению;</w:t>
      </w:r>
    </w:p>
    <w:p w14:paraId="3EECBF5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в графе M указывается сумма единого платежа, подлежащего перечислению;</w:t>
      </w:r>
    </w:p>
    <w:p w14:paraId="1B761D1E" w14:textId="09A73A6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в графе N указывается код страны гражданства физического лица иностранцев и лиц без гражданства, признанных в целях налогообложения резидентами Республики Казахстан.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1D47C29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Для лиц без гражданства в графе N указывается код "00";</w:t>
      </w:r>
    </w:p>
    <w:p w14:paraId="4F8440C0" w14:textId="4F74854B"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z w:val="24"/>
          <w:szCs w:val="24"/>
          <w:lang w:eastAsia="ru-RU"/>
        </w:rPr>
      </w:pPr>
      <w:r w:rsidRPr="00E51DC8">
        <w:rPr>
          <w:rFonts w:ascii="Times New Roman" w:eastAsia="Times New Roman" w:hAnsi="Times New Roman" w:cs="Times New Roman"/>
          <w:spacing w:val="2"/>
          <w:sz w:val="24"/>
          <w:szCs w:val="24"/>
          <w:lang w:eastAsia="ru-RU"/>
        </w:rPr>
        <w:t>      15) в графе О отмечается если физическое лицо осуществляет деятельность в структурном подразделении юридического лица, не признанном налоговым агентом.</w:t>
      </w:r>
      <w:r w:rsidRPr="00E51DC8">
        <w:rPr>
          <w:rFonts w:ascii="Times New Roman" w:eastAsia="Times New Roman" w:hAnsi="Times New Roman" w:cs="Times New Roman"/>
          <w:sz w:val="24"/>
          <w:szCs w:val="24"/>
          <w:lang w:eastAsia="ru-RU"/>
        </w:rPr>
        <w:t xml:space="preserve"> </w:t>
      </w:r>
      <w:r w:rsidRPr="00E51DC8">
        <w:rPr>
          <w:rFonts w:ascii="Times New Roman" w:eastAsia="Times New Roman" w:hAnsi="Times New Roman" w:cs="Times New Roman"/>
          <w:sz w:val="24"/>
          <w:szCs w:val="24"/>
          <w:lang w:eastAsia="ru-RU"/>
        </w:rPr>
        <w:br/>
      </w:r>
    </w:p>
    <w:p w14:paraId="1FB4F7F1" w14:textId="77777777" w:rsidR="00BC492E" w:rsidRPr="00E51DC8" w:rsidRDefault="00BC492E" w:rsidP="00E51DC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E51DC8">
        <w:rPr>
          <w:rFonts w:ascii="Times New Roman" w:eastAsia="Times New Roman" w:hAnsi="Times New Roman" w:cs="Times New Roman"/>
          <w:b/>
          <w:bCs/>
          <w:sz w:val="24"/>
          <w:szCs w:val="24"/>
          <w:lang w:eastAsia="ru-RU"/>
        </w:rPr>
        <w:t>Глава 9. Коды видов доходов, стран и международных договоров</w:t>
      </w:r>
    </w:p>
    <w:p w14:paraId="7C98AB7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37. При заполнении декларации используется следующая кодировка видов доходов из источников в Республике Казахстан:</w:t>
      </w:r>
    </w:p>
    <w:p w14:paraId="07F803E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50BA639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1020 – доход от выполнения работ, ока</w:t>
      </w:r>
      <w:bookmarkStart w:id="0" w:name="_GoBack"/>
      <w:bookmarkEnd w:id="0"/>
      <w:r w:rsidRPr="00E51DC8">
        <w:rPr>
          <w:rFonts w:ascii="Times New Roman" w:eastAsia="Times New Roman" w:hAnsi="Times New Roman" w:cs="Times New Roman"/>
          <w:spacing w:val="2"/>
          <w:sz w:val="24"/>
          <w:szCs w:val="24"/>
          <w:lang w:eastAsia="ru-RU"/>
        </w:rPr>
        <w:t>зания услуг на территории Республики Казахстан;</w:t>
      </w:r>
    </w:p>
    <w:p w14:paraId="198BC4A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22039C2D" w14:textId="01D86F34"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7F8B209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176E548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не удовлетворенных нерезидентом по истечении двухлетнего периода со дня выплаты аванса (предоплаты);</w:t>
      </w:r>
    </w:p>
    <w:p w14:paraId="7EAE0C9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7625201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1060 – доход от прироста стоимости при реализации:</w:t>
      </w:r>
    </w:p>
    <w:p w14:paraId="094D17A8" w14:textId="0B6C8323"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6D9140E6" w14:textId="43C4B4C7"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7873B29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0997083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0223438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1DE3780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3A815FE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1090 – доход в виде неустойки (штрафов, пени) и других видов санкций, кроме возвращенных из бюджета необоснованно удержанных ранее штрафов;</w:t>
      </w:r>
    </w:p>
    <w:p w14:paraId="10499902" w14:textId="1ADD4586"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727FA50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1110 – доходы в виде вознаграждений, за исключением вознаграждений по долговым ценным бумагам;</w:t>
      </w:r>
    </w:p>
    <w:p w14:paraId="25EA424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1120 – доходы в виде вознаграждений по долговым ценным бумагам, получаемые от эмитента;</w:t>
      </w:r>
    </w:p>
    <w:p w14:paraId="26FD5DB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1130 – доходы в форме роялти;</w:t>
      </w:r>
    </w:p>
    <w:p w14:paraId="6100C04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74DCF6E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1150 – доход, получаемые от недвижимого имущества, находящегося в Республике Казахстан;</w:t>
      </w:r>
    </w:p>
    <w:p w14:paraId="5BF8BB9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1160 – доход в виде страховых премий, выплачиваемых по договорам страхования или перестрахования рисков, возникающих в Республике Казахстан;</w:t>
      </w:r>
    </w:p>
    <w:p w14:paraId="7042126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1170 – доход от оказания услуг по международной перевозке;</w:t>
      </w:r>
    </w:p>
    <w:p w14:paraId="31CA001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1180 – доход в виде платежа за простой судна при погрузочно-разгрузочных операциях </w:t>
      </w:r>
      <w:proofErr w:type="spellStart"/>
      <w:r w:rsidRPr="00E51DC8">
        <w:rPr>
          <w:rFonts w:ascii="Times New Roman" w:eastAsia="Times New Roman" w:hAnsi="Times New Roman" w:cs="Times New Roman"/>
          <w:spacing w:val="2"/>
          <w:sz w:val="24"/>
          <w:szCs w:val="24"/>
          <w:lang w:eastAsia="ru-RU"/>
        </w:rPr>
        <w:t>сверхсталийного</w:t>
      </w:r>
      <w:proofErr w:type="spellEnd"/>
      <w:r w:rsidRPr="00E51DC8">
        <w:rPr>
          <w:rFonts w:ascii="Times New Roman" w:eastAsia="Times New Roman" w:hAnsi="Times New Roman" w:cs="Times New Roman"/>
          <w:spacing w:val="2"/>
          <w:sz w:val="24"/>
          <w:szCs w:val="24"/>
          <w:lang w:eastAsia="ru-RU"/>
        </w:rPr>
        <w:t xml:space="preserve"> времени, предусмотренного в договоре (контракте) морской перевозки;</w:t>
      </w:r>
    </w:p>
    <w:p w14:paraId="2D72758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1B14A47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01F59DC8" w14:textId="0CC3363C" w:rsidR="00BC492E" w:rsidRPr="00E51DC8" w:rsidRDefault="00BC492E" w:rsidP="00E51DC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46B2B88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1220 – 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515D053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789D92A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1240 – доход физического лица-нерезидента от деятельности в Республике Казахстан в виде материальной выгоды, полученной от работодателя;</w:t>
      </w:r>
    </w:p>
    <w:p w14:paraId="500FE6A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1250 – доход физического лица-нерезидента в виде материальной выгоды, полученной от лица, не являющегося работодателем;</w:t>
      </w:r>
    </w:p>
    <w:p w14:paraId="0D11B57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1260 – пенсионные выплаты, осуществляемые накопительным пенсионным фондом-резидентом;</w:t>
      </w:r>
    </w:p>
    <w:p w14:paraId="7B6C8E8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0EA465C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1280 – доход в виде выигрыша;</w:t>
      </w:r>
    </w:p>
    <w:p w14:paraId="53E2291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1290 – доход, от оказания независимых личных (профессиональных) услуг в Республике Казахстан;</w:t>
      </w:r>
    </w:p>
    <w:p w14:paraId="264F130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4298B0F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1310 – доходы по производным финансовым инструментам;</w:t>
      </w:r>
    </w:p>
    <w:p w14:paraId="76C9653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273BFFD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1330 – доход по инвестиционному депозиту, размещенного в исламском банке;</w:t>
      </w:r>
    </w:p>
    <w:p w14:paraId="43D38CE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1340 – другие доходы, возникающие от деятельности на территории Республики Казахстан.</w:t>
      </w:r>
    </w:p>
    <w:p w14:paraId="25D0C4D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38. При заполнении декларации, в том числе используется кодировка оффшорных стран:</w:t>
      </w:r>
    </w:p>
    <w:p w14:paraId="551D61C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0001 – Княжество </w:t>
      </w:r>
      <w:proofErr w:type="spellStart"/>
      <w:r w:rsidRPr="00E51DC8">
        <w:rPr>
          <w:rFonts w:ascii="Times New Roman" w:eastAsia="Times New Roman" w:hAnsi="Times New Roman" w:cs="Times New Roman"/>
          <w:spacing w:val="2"/>
          <w:sz w:val="24"/>
          <w:szCs w:val="24"/>
          <w:lang w:eastAsia="ru-RU"/>
        </w:rPr>
        <w:t>Андора</w:t>
      </w:r>
      <w:proofErr w:type="spellEnd"/>
      <w:r w:rsidRPr="00E51DC8">
        <w:rPr>
          <w:rFonts w:ascii="Times New Roman" w:eastAsia="Times New Roman" w:hAnsi="Times New Roman" w:cs="Times New Roman"/>
          <w:spacing w:val="2"/>
          <w:sz w:val="24"/>
          <w:szCs w:val="24"/>
          <w:lang w:eastAsia="ru-RU"/>
        </w:rPr>
        <w:t>;</w:t>
      </w:r>
    </w:p>
    <w:p w14:paraId="633CBCB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0002 – Антигуа и Барбуда;</w:t>
      </w:r>
    </w:p>
    <w:p w14:paraId="2C1FFBB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0003 – Содружество Багамских островов;</w:t>
      </w:r>
    </w:p>
    <w:p w14:paraId="6208696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0004 – Барбадос;</w:t>
      </w:r>
    </w:p>
    <w:p w14:paraId="77C0910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0005 – Королевство Бахрейн;</w:t>
      </w:r>
    </w:p>
    <w:p w14:paraId="31886FA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0006 – Белиз;</w:t>
      </w:r>
    </w:p>
    <w:p w14:paraId="5A2FC61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0007 – Султанат Бруней </w:t>
      </w:r>
      <w:proofErr w:type="spellStart"/>
      <w:r w:rsidRPr="00E51DC8">
        <w:rPr>
          <w:rFonts w:ascii="Times New Roman" w:eastAsia="Times New Roman" w:hAnsi="Times New Roman" w:cs="Times New Roman"/>
          <w:spacing w:val="2"/>
          <w:sz w:val="24"/>
          <w:szCs w:val="24"/>
          <w:lang w:eastAsia="ru-RU"/>
        </w:rPr>
        <w:t>Даруссалам</w:t>
      </w:r>
      <w:proofErr w:type="spellEnd"/>
      <w:r w:rsidRPr="00E51DC8">
        <w:rPr>
          <w:rFonts w:ascii="Times New Roman" w:eastAsia="Times New Roman" w:hAnsi="Times New Roman" w:cs="Times New Roman"/>
          <w:spacing w:val="2"/>
          <w:sz w:val="24"/>
          <w:szCs w:val="24"/>
          <w:lang w:eastAsia="ru-RU"/>
        </w:rPr>
        <w:t>;</w:t>
      </w:r>
    </w:p>
    <w:p w14:paraId="75D010B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0008 – Республика Вануату;</w:t>
      </w:r>
    </w:p>
    <w:p w14:paraId="4A1E0F9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0009 – Кооперативная Республика Гайана;</w:t>
      </w:r>
    </w:p>
    <w:p w14:paraId="7E48652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0010 – Республика Гватемала;</w:t>
      </w:r>
    </w:p>
    <w:p w14:paraId="3A5E42F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0011 – Гренада;</w:t>
      </w:r>
    </w:p>
    <w:p w14:paraId="4D3BF2D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0012 – Республика Джибути;</w:t>
      </w:r>
    </w:p>
    <w:p w14:paraId="0FE01EA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0013 – Доминиканская Республика;</w:t>
      </w:r>
    </w:p>
    <w:p w14:paraId="240428B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0014 – Содружество Доминики;</w:t>
      </w:r>
    </w:p>
    <w:p w14:paraId="4E9A8B4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0015 – Королевство Испания (только в части территории Канарских островов);</w:t>
      </w:r>
    </w:p>
    <w:p w14:paraId="19DD453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0016 – Китайская Народная Республика (только в части территорий специальных административных районов Аомынь, (Макао) и Сянган (Гонконг);</w:t>
      </w:r>
    </w:p>
    <w:p w14:paraId="58B4E11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0017 – Республика Колумбия;</w:t>
      </w:r>
    </w:p>
    <w:p w14:paraId="2E2CED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0018 – Федеративная Исламская Республика Коморские острова;</w:t>
      </w:r>
    </w:p>
    <w:p w14:paraId="0CA8CA6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0019 – Республика Коста-Рика;</w:t>
      </w:r>
    </w:p>
    <w:p w14:paraId="426945A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0020 – Малайзия (только в части территории анклава </w:t>
      </w:r>
      <w:proofErr w:type="spellStart"/>
      <w:r w:rsidRPr="00E51DC8">
        <w:rPr>
          <w:rFonts w:ascii="Times New Roman" w:eastAsia="Times New Roman" w:hAnsi="Times New Roman" w:cs="Times New Roman"/>
          <w:spacing w:val="2"/>
          <w:sz w:val="24"/>
          <w:szCs w:val="24"/>
          <w:lang w:eastAsia="ru-RU"/>
        </w:rPr>
        <w:t>Лабуан</w:t>
      </w:r>
      <w:proofErr w:type="spellEnd"/>
      <w:r w:rsidRPr="00E51DC8">
        <w:rPr>
          <w:rFonts w:ascii="Times New Roman" w:eastAsia="Times New Roman" w:hAnsi="Times New Roman" w:cs="Times New Roman"/>
          <w:spacing w:val="2"/>
          <w:sz w:val="24"/>
          <w:szCs w:val="24"/>
          <w:lang w:eastAsia="ru-RU"/>
        </w:rPr>
        <w:t>);</w:t>
      </w:r>
    </w:p>
    <w:p w14:paraId="5BA2040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0021 – Республика Либерия;</w:t>
      </w:r>
    </w:p>
    <w:p w14:paraId="7180D9F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0022 – Ливанская Республика;</w:t>
      </w:r>
    </w:p>
    <w:p w14:paraId="773650E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0023 – Княжество Лихтенштейн;</w:t>
      </w:r>
    </w:p>
    <w:p w14:paraId="79CBE53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0024 – Республика Маврикий;</w:t>
      </w:r>
    </w:p>
    <w:p w14:paraId="1E25940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0025 – Исламская Республика Мавритания;</w:t>
      </w:r>
    </w:p>
    <w:p w14:paraId="22AD703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0026 – Португальская Республика (только в части территории Мадейра);</w:t>
      </w:r>
    </w:p>
    <w:p w14:paraId="72B5EDD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0027 – Мальдивская Республика;</w:t>
      </w:r>
    </w:p>
    <w:p w14:paraId="4872AD2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0028 – Республика Маршалловы острова;</w:t>
      </w:r>
    </w:p>
    <w:p w14:paraId="726A36E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0029 – Княжество Монако;</w:t>
      </w:r>
    </w:p>
    <w:p w14:paraId="6FC8B4B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0030 – Мальта;</w:t>
      </w:r>
    </w:p>
    <w:p w14:paraId="01CA0CA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0031 – Марианские острова;</w:t>
      </w:r>
    </w:p>
    <w:p w14:paraId="3F5333D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0032 – Королевство Марокко (только в части территории города Танжер);</w:t>
      </w:r>
    </w:p>
    <w:p w14:paraId="75F961A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0033 – Республика Союз Мьянма;</w:t>
      </w:r>
    </w:p>
    <w:p w14:paraId="7B252A1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0034 – Республика Науру;</w:t>
      </w:r>
    </w:p>
    <w:p w14:paraId="5BCDE64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0035 – Королевство Нидерланды (только в части территории острова Аруба и зависимых территорий Антильских островов);</w:t>
      </w:r>
    </w:p>
    <w:p w14:paraId="0507940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0036 – Федеративная Республика Нигерия;</w:t>
      </w:r>
    </w:p>
    <w:p w14:paraId="0EC765E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0037 – Новая Зеландия (только в части территории островов Кука и Ниуэ);</w:t>
      </w:r>
    </w:p>
    <w:p w14:paraId="129E1F9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0038 – Республика Палау;</w:t>
      </w:r>
    </w:p>
    <w:p w14:paraId="572E022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0039 – Республика Панама;</w:t>
      </w:r>
    </w:p>
    <w:p w14:paraId="1B154B0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0040 – Независимое Государство Самоа;</w:t>
      </w:r>
    </w:p>
    <w:p w14:paraId="1AEC934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0041 – Республика Сан-Марино;</w:t>
      </w:r>
    </w:p>
    <w:p w14:paraId="00DBD48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0042 – Республика Сейшельские острова;</w:t>
      </w:r>
    </w:p>
    <w:p w14:paraId="0C760E6D"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0043 – Сент-Винсент и Гренадины;</w:t>
      </w:r>
    </w:p>
    <w:p w14:paraId="28141FF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0044 – Федерация Сент-Китс и Невис;</w:t>
      </w:r>
    </w:p>
    <w:p w14:paraId="271B778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0045 – Сент-Люсия;</w:t>
      </w:r>
    </w:p>
    <w:p w14:paraId="63C52CA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w:t>
      </w:r>
      <w:proofErr w:type="spellStart"/>
      <w:r w:rsidRPr="00E51DC8">
        <w:rPr>
          <w:rFonts w:ascii="Times New Roman" w:eastAsia="Times New Roman" w:hAnsi="Times New Roman" w:cs="Times New Roman"/>
          <w:spacing w:val="2"/>
          <w:sz w:val="24"/>
          <w:szCs w:val="24"/>
          <w:lang w:eastAsia="ru-RU"/>
        </w:rPr>
        <w:t>Кайкос</w:t>
      </w:r>
      <w:proofErr w:type="spellEnd"/>
      <w:r w:rsidRPr="00E51DC8">
        <w:rPr>
          <w:rFonts w:ascii="Times New Roman" w:eastAsia="Times New Roman" w:hAnsi="Times New Roman" w:cs="Times New Roman"/>
          <w:spacing w:val="2"/>
          <w:sz w:val="24"/>
          <w:szCs w:val="24"/>
          <w:lang w:eastAsia="ru-RU"/>
        </w:rPr>
        <w:t xml:space="preserve">, остров Мэн, Нормандские острова (острова Гернси, Джерси, Сарк, </w:t>
      </w:r>
      <w:proofErr w:type="spellStart"/>
      <w:r w:rsidRPr="00E51DC8">
        <w:rPr>
          <w:rFonts w:ascii="Times New Roman" w:eastAsia="Times New Roman" w:hAnsi="Times New Roman" w:cs="Times New Roman"/>
          <w:spacing w:val="2"/>
          <w:sz w:val="24"/>
          <w:szCs w:val="24"/>
          <w:lang w:eastAsia="ru-RU"/>
        </w:rPr>
        <w:t>Олдерни</w:t>
      </w:r>
      <w:proofErr w:type="spellEnd"/>
      <w:r w:rsidRPr="00E51DC8">
        <w:rPr>
          <w:rFonts w:ascii="Times New Roman" w:eastAsia="Times New Roman" w:hAnsi="Times New Roman" w:cs="Times New Roman"/>
          <w:spacing w:val="2"/>
          <w:sz w:val="24"/>
          <w:szCs w:val="24"/>
          <w:lang w:eastAsia="ru-RU"/>
        </w:rPr>
        <w:t xml:space="preserve">), остров Южная Георгия, Южные </w:t>
      </w:r>
      <w:proofErr w:type="spellStart"/>
      <w:r w:rsidRPr="00E51DC8">
        <w:rPr>
          <w:rFonts w:ascii="Times New Roman" w:eastAsia="Times New Roman" w:hAnsi="Times New Roman" w:cs="Times New Roman"/>
          <w:spacing w:val="2"/>
          <w:sz w:val="24"/>
          <w:szCs w:val="24"/>
          <w:lang w:eastAsia="ru-RU"/>
        </w:rPr>
        <w:t>Сэндвичевы</w:t>
      </w:r>
      <w:proofErr w:type="spellEnd"/>
      <w:r w:rsidRPr="00E51DC8">
        <w:rPr>
          <w:rFonts w:ascii="Times New Roman" w:eastAsia="Times New Roman" w:hAnsi="Times New Roman" w:cs="Times New Roman"/>
          <w:spacing w:val="2"/>
          <w:sz w:val="24"/>
          <w:szCs w:val="24"/>
          <w:lang w:eastAsia="ru-RU"/>
        </w:rPr>
        <w:t xml:space="preserve"> острова, остров </w:t>
      </w:r>
      <w:proofErr w:type="spellStart"/>
      <w:r w:rsidRPr="00E51DC8">
        <w:rPr>
          <w:rFonts w:ascii="Times New Roman" w:eastAsia="Times New Roman" w:hAnsi="Times New Roman" w:cs="Times New Roman"/>
          <w:spacing w:val="2"/>
          <w:sz w:val="24"/>
          <w:szCs w:val="24"/>
          <w:lang w:eastAsia="ru-RU"/>
        </w:rPr>
        <w:t>Чагос</w:t>
      </w:r>
      <w:proofErr w:type="spellEnd"/>
      <w:r w:rsidRPr="00E51DC8">
        <w:rPr>
          <w:rFonts w:ascii="Times New Roman" w:eastAsia="Times New Roman" w:hAnsi="Times New Roman" w:cs="Times New Roman"/>
          <w:spacing w:val="2"/>
          <w:sz w:val="24"/>
          <w:szCs w:val="24"/>
          <w:lang w:eastAsia="ru-RU"/>
        </w:rPr>
        <w:t>);</w:t>
      </w:r>
    </w:p>
    <w:p w14:paraId="1E4DEFA0"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0047 – Соединенные Штаты Америки (только в части американские Виргинские острова, остров Гуам, содружество Пуэрто-Рико, штат Вайоминг, штат Делавэр);</w:t>
      </w:r>
    </w:p>
    <w:p w14:paraId="2EEE81B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0048 – Республика Суринам;</w:t>
      </w:r>
    </w:p>
    <w:p w14:paraId="0EF383A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0049 – Объединенная Республика Танзания;</w:t>
      </w:r>
    </w:p>
    <w:p w14:paraId="2F0F6C2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0050 – Королевство Тонга;</w:t>
      </w:r>
    </w:p>
    <w:p w14:paraId="7DB4C1A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0051 – Республика Тринидад и Тобаго;</w:t>
      </w:r>
    </w:p>
    <w:p w14:paraId="1A75E0F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0052 – Суверенная Демократическая Республика Фиджи;</w:t>
      </w:r>
    </w:p>
    <w:p w14:paraId="3744075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0053 – Республика Филиппины;</w:t>
      </w:r>
    </w:p>
    <w:p w14:paraId="47D9B95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0054 – Французская Республика (только в части остров </w:t>
      </w:r>
      <w:proofErr w:type="spellStart"/>
      <w:r w:rsidRPr="00E51DC8">
        <w:rPr>
          <w:rFonts w:ascii="Times New Roman" w:eastAsia="Times New Roman" w:hAnsi="Times New Roman" w:cs="Times New Roman"/>
          <w:spacing w:val="2"/>
          <w:sz w:val="24"/>
          <w:szCs w:val="24"/>
          <w:lang w:eastAsia="ru-RU"/>
        </w:rPr>
        <w:t>Кергелен</w:t>
      </w:r>
      <w:proofErr w:type="spellEnd"/>
      <w:r w:rsidRPr="00E51DC8">
        <w:rPr>
          <w:rFonts w:ascii="Times New Roman" w:eastAsia="Times New Roman" w:hAnsi="Times New Roman" w:cs="Times New Roman"/>
          <w:spacing w:val="2"/>
          <w:sz w:val="24"/>
          <w:szCs w:val="24"/>
          <w:lang w:eastAsia="ru-RU"/>
        </w:rPr>
        <w:t>, Французская Полинезия, Французская Гвиана);</w:t>
      </w:r>
    </w:p>
    <w:p w14:paraId="06A835A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0055 – Черногория;</w:t>
      </w:r>
    </w:p>
    <w:p w14:paraId="7E1FACA5"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0056 – Демократическая Республика Шри-Ланка;</w:t>
      </w:r>
    </w:p>
    <w:p w14:paraId="202F39B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0057 – Ямайка.</w:t>
      </w:r>
    </w:p>
    <w:p w14:paraId="4EC6F4FB"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39. При заполнении декларации используется следующая кодировка видов международных договоров (соглашений):</w:t>
      </w:r>
    </w:p>
    <w:p w14:paraId="41B11B8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01 – Конвенция об </w:t>
      </w:r>
      <w:proofErr w:type="spellStart"/>
      <w:r w:rsidRPr="00E51DC8">
        <w:rPr>
          <w:rFonts w:ascii="Times New Roman" w:eastAsia="Times New Roman" w:hAnsi="Times New Roman" w:cs="Times New Roman"/>
          <w:spacing w:val="2"/>
          <w:sz w:val="24"/>
          <w:szCs w:val="24"/>
          <w:lang w:eastAsia="ru-RU"/>
        </w:rPr>
        <w:t>избежании</w:t>
      </w:r>
      <w:proofErr w:type="spellEnd"/>
      <w:r w:rsidRPr="00E51DC8">
        <w:rPr>
          <w:rFonts w:ascii="Times New Roman" w:eastAsia="Times New Roman" w:hAnsi="Times New Roman" w:cs="Times New Roman"/>
          <w:spacing w:val="2"/>
          <w:sz w:val="24"/>
          <w:szCs w:val="24"/>
          <w:lang w:eastAsia="ru-RU"/>
        </w:rPr>
        <w:t xml:space="preserve"> двойного налогообложения и предотвращении уклонения от уплаты налогов на доход и капитал;</w:t>
      </w:r>
    </w:p>
    <w:p w14:paraId="427AA5F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02 – Учредительный договор Исламского Банка Развития;</w:t>
      </w:r>
    </w:p>
    <w:p w14:paraId="763D17D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03 – Соглашение об условиях работы регионального экологического центра Центральной Азии;</w:t>
      </w:r>
    </w:p>
    <w:p w14:paraId="20C7A42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04 – Учредительный договор Азиатского банка развития;</w:t>
      </w:r>
    </w:p>
    <w:p w14:paraId="25F0AC4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05 – Соглашение по использованию гранта на проект строительства нового правительственного здания;</w:t>
      </w:r>
    </w:p>
    <w:p w14:paraId="1D0D15C7"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06 – Соглашение о финансовом сотрудничестве;</w:t>
      </w:r>
    </w:p>
    <w:p w14:paraId="1A0936C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07 – Меморандум о взаимопонимании;</w:t>
      </w:r>
    </w:p>
    <w:p w14:paraId="6E88498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7D7AF32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09 – Соглашение Международного банка реконструкции и развития;</w:t>
      </w:r>
    </w:p>
    <w:p w14:paraId="70CEF0E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10 – Соглашение Международного валютного фонда;</w:t>
      </w:r>
    </w:p>
    <w:p w14:paraId="4DFD217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11 – Соглашение Международной финансовой корпорации;</w:t>
      </w:r>
    </w:p>
    <w:p w14:paraId="02F8BD34"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12 – Конвенция об урегулировании инвестиционных споров;</w:t>
      </w:r>
    </w:p>
    <w:p w14:paraId="1B7F1C81"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13 – Соглашение об учреждении Европейского банка реконструкции и развития;</w:t>
      </w:r>
    </w:p>
    <w:p w14:paraId="76754592"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14 – Венская конвенция о дипломатических сношениях;</w:t>
      </w:r>
    </w:p>
    <w:p w14:paraId="0BFAF88A"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15 – Договор по созданию Университета Центральной Азии;</w:t>
      </w:r>
    </w:p>
    <w:p w14:paraId="361D7B68"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16 – Конвенция об учреждении Многостороннего агентства по гарантиям инвестиций;</w:t>
      </w:r>
    </w:p>
    <w:p w14:paraId="2414243E"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17 – Соглашение о Египетском университете исламской культуры "</w:t>
      </w:r>
      <w:proofErr w:type="spellStart"/>
      <w:r w:rsidRPr="00E51DC8">
        <w:rPr>
          <w:rFonts w:ascii="Times New Roman" w:eastAsia="Times New Roman" w:hAnsi="Times New Roman" w:cs="Times New Roman"/>
          <w:spacing w:val="2"/>
          <w:sz w:val="24"/>
          <w:szCs w:val="24"/>
          <w:lang w:eastAsia="ru-RU"/>
        </w:rPr>
        <w:t>Нур</w:t>
      </w:r>
      <w:proofErr w:type="spellEnd"/>
      <w:r w:rsidRPr="00E51DC8">
        <w:rPr>
          <w:rFonts w:ascii="Times New Roman" w:eastAsia="Times New Roman" w:hAnsi="Times New Roman" w:cs="Times New Roman"/>
          <w:spacing w:val="2"/>
          <w:sz w:val="24"/>
          <w:szCs w:val="24"/>
          <w:lang w:eastAsia="ru-RU"/>
        </w:rPr>
        <w:t>-Мубарак";</w:t>
      </w:r>
    </w:p>
    <w:p w14:paraId="33BF21BC"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lastRenderedPageBreak/>
        <w:t>      18 – Соглашение о воздушном сообщении;</w:t>
      </w:r>
    </w:p>
    <w:p w14:paraId="467E0083"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xml:space="preserve">      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E51DC8">
        <w:rPr>
          <w:rFonts w:ascii="Times New Roman" w:eastAsia="Times New Roman" w:hAnsi="Times New Roman" w:cs="Times New Roman"/>
          <w:spacing w:val="2"/>
          <w:sz w:val="24"/>
          <w:szCs w:val="24"/>
          <w:lang w:eastAsia="ru-RU"/>
        </w:rPr>
        <w:t>агросервисных</w:t>
      </w:r>
      <w:proofErr w:type="spellEnd"/>
      <w:r w:rsidRPr="00E51DC8">
        <w:rPr>
          <w:rFonts w:ascii="Times New Roman" w:eastAsia="Times New Roman" w:hAnsi="Times New Roman" w:cs="Times New Roman"/>
          <w:spacing w:val="2"/>
          <w:sz w:val="24"/>
          <w:szCs w:val="24"/>
          <w:lang w:eastAsia="ru-RU"/>
        </w:rPr>
        <w:t xml:space="preserve"> служб";</w:t>
      </w:r>
    </w:p>
    <w:p w14:paraId="6AE68BE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2992602F"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21 – Конвенция о привилегиях и иммунитетах Евразийского экономического сообщества;</w:t>
      </w:r>
    </w:p>
    <w:p w14:paraId="6F80AC56"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22 – Соглашение Азиатского банка инфраструктурных инвестиций;</w:t>
      </w:r>
    </w:p>
    <w:p w14:paraId="36604119" w14:textId="77777777" w:rsidR="00BC492E" w:rsidRPr="00E51DC8" w:rsidRDefault="00BC492E" w:rsidP="00E51DC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E51DC8">
        <w:rPr>
          <w:rFonts w:ascii="Times New Roman" w:eastAsia="Times New Roman" w:hAnsi="Times New Roman" w:cs="Times New Roman"/>
          <w:spacing w:val="2"/>
          <w:sz w:val="24"/>
          <w:szCs w:val="24"/>
          <w:lang w:eastAsia="ru-RU"/>
        </w:rPr>
        <w:t>      23 – Иные международные договоры (соглашения, конвенции).</w:t>
      </w:r>
    </w:p>
    <w:p w14:paraId="47BC71A9" w14:textId="77777777" w:rsidR="0044357D" w:rsidRPr="00BC492E" w:rsidRDefault="0044357D">
      <w:pPr>
        <w:rPr>
          <w:rFonts w:ascii="Times New Roman" w:hAnsi="Times New Roman" w:cs="Times New Roman"/>
          <w:sz w:val="24"/>
          <w:szCs w:val="24"/>
        </w:rPr>
      </w:pPr>
    </w:p>
    <w:sectPr w:rsidR="0044357D" w:rsidRPr="00BC49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9D"/>
    <w:rsid w:val="0044357D"/>
    <w:rsid w:val="00503D63"/>
    <w:rsid w:val="0061669D"/>
    <w:rsid w:val="00BC492E"/>
    <w:rsid w:val="00E47149"/>
    <w:rsid w:val="00E51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91BA9"/>
  <w15:chartTrackingRefBased/>
  <w15:docId w15:val="{BB6DDD72-153E-44E7-9A53-87A035D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C492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C492E"/>
    <w:rPr>
      <w:rFonts w:ascii="Times New Roman" w:eastAsia="Times New Roman" w:hAnsi="Times New Roman" w:cs="Times New Roman"/>
      <w:b/>
      <w:bCs/>
      <w:sz w:val="27"/>
      <w:szCs w:val="27"/>
      <w:lang w:eastAsia="ru-RU"/>
    </w:rPr>
  </w:style>
  <w:style w:type="paragraph" w:customStyle="1" w:styleId="msonormal0">
    <w:name w:val="msonormal"/>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492E"/>
    <w:rPr>
      <w:color w:val="0000FF"/>
      <w:u w:val="single"/>
    </w:rPr>
  </w:style>
  <w:style w:type="character" w:styleId="a5">
    <w:name w:val="FollowedHyperlink"/>
    <w:basedOn w:val="a0"/>
    <w:uiPriority w:val="99"/>
    <w:semiHidden/>
    <w:unhideWhenUsed/>
    <w:rsid w:val="00BC492E"/>
    <w:rPr>
      <w:color w:val="800080"/>
      <w:u w:val="single"/>
    </w:rPr>
  </w:style>
  <w:style w:type="character" w:customStyle="1" w:styleId="note1">
    <w:name w:val="note1"/>
    <w:basedOn w:val="a0"/>
    <w:rsid w:val="00BC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08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38</Pages>
  <Words>12951</Words>
  <Characters>73822</Characters>
  <Application>Microsoft Office Word</Application>
  <DocSecurity>0</DocSecurity>
  <Lines>615</Lines>
  <Paragraphs>173</Paragraphs>
  <ScaleCrop>false</ScaleCrop>
  <Company/>
  <LinksUpToDate>false</LinksUpToDate>
  <CharactersWithSpaces>86600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5</cp:revision>
  <dcterms:created xsi:type="dcterms:W3CDTF">2024-01-24T04:35:00Z</dcterms:created>
  <dcterms:modified xsi:type="dcterms:W3CDTF">2024-01-24T04:59:00Z</dcterms:modified>
</cp:coreProperties>
</file>