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107728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Правила составления форм налоговых регистров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107728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Глава 1. Общие положения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 xml:space="preserve">1. Настоящие Правила составления форм налоговых регистров (далее – Правила) разработаны в соответствии с Кодексом Республики Казахстан от 10 декабря 2008 года «О налогах и других обязательных платежах в бюджет» (Налоговый Кодекс) и Законом Республики Казахстан от 10 декабря 2008 года «О введении в </w:t>
      </w:r>
      <w:r>
        <w:rPr>
          <w:rFonts w:ascii="Times New Roman" w:eastAsia="Times New Roman" w:hAnsi="Times New Roman" w:cs="Times New Roman"/>
          <w:color w:val="0A0A0A"/>
          <w:lang w:eastAsia="ru-RU"/>
        </w:rPr>
        <w:t>ф</w:t>
      </w:r>
      <w:bookmarkStart w:id="0" w:name="_GoBack"/>
      <w:bookmarkEnd w:id="0"/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действие Кодекса Республики Казахстан «О налогах и других обязательных платежах в бюджет (Налоговый кодекс)» (далее – Закон о введении) и определяют порядок составления налоговых регистров.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4. В налоговом регистре указываются общие сведения о налогоплательщике: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1) ИИН/БИН – индивидуальный идентификационный или бизнес-идентификационный номер налогоплательщика.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Индивидуальный идентификационный (бизнес-идентификационный) номер подлежит заполнению в соответствии с Законом Республики Казахстан от 12 января 2007 года «О национальных реестрах идентификационных номеров»;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2) фамилия, имя, отчество (при его наличии) или наименование налогоплательщика;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3) налоговый период, за который составляется форма налогового регистра;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4) фамилия, имя,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5) фамилия, имя, отчество (при его наличии) главного бухгалтера налогоплательщика (при его наличии) и его подпись;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6) фамилия, имя,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7) дата составления налогового регистра.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– по требованию должностных лиц органов государственных доходов, осуществляющих проверку.</w:t>
      </w:r>
    </w:p>
    <w:p w:rsidR="00107728" w:rsidRPr="00107728" w:rsidRDefault="00107728" w:rsidP="001077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lang w:eastAsia="ru-RU"/>
        </w:rPr>
      </w:pPr>
      <w:r w:rsidRPr="00107728">
        <w:rPr>
          <w:rFonts w:ascii="Times New Roman" w:eastAsia="Times New Roman" w:hAnsi="Times New Roman" w:cs="Times New Roman"/>
          <w:color w:val="0A0A0A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107728" w:rsidRDefault="00107728" w:rsidP="00107728">
      <w:pPr>
        <w:pStyle w:val="5"/>
        <w:shd w:val="clear" w:color="auto" w:fill="FFFFFF"/>
        <w:rPr>
          <w:bCs w:val="0"/>
          <w:color w:val="0A0A0A"/>
          <w:sz w:val="28"/>
          <w:szCs w:val="28"/>
        </w:rPr>
      </w:pPr>
    </w:p>
    <w:p w:rsidR="00107728" w:rsidRPr="00107728" w:rsidRDefault="00107728" w:rsidP="00107728">
      <w:pPr>
        <w:pStyle w:val="5"/>
        <w:shd w:val="clear" w:color="auto" w:fill="FFFFFF"/>
        <w:rPr>
          <w:bCs w:val="0"/>
          <w:color w:val="0A0A0A"/>
          <w:sz w:val="28"/>
          <w:szCs w:val="28"/>
        </w:rPr>
      </w:pPr>
      <w:r w:rsidRPr="00107728">
        <w:rPr>
          <w:bCs w:val="0"/>
          <w:color w:val="0A0A0A"/>
          <w:sz w:val="28"/>
          <w:szCs w:val="28"/>
        </w:rPr>
        <w:lastRenderedPageBreak/>
        <w:t>Глава 3. Составление формы налогового регистра по определению стоимостных балансов групп (подгрупп) фиксированных активов и последующим расходам по фиксированным активам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13. Форма налогового регистра по определению стоимостных балансов групп (подгрупп) фиксированных активов и</w:t>
      </w:r>
      <w:r w:rsidRPr="00107728">
        <w:rPr>
          <w:color w:val="0A0A0A"/>
          <w:sz w:val="22"/>
          <w:szCs w:val="22"/>
        </w:rPr>
        <w:br/>
        <w:t>последующим расходам по фиксированным активам предназначена для определения стоимостных балансов групп (подгрупп) фиксированных активов и последующих расходов по фиксированным активам, в целях налогообложения в соответствии с Налоговым кодексом.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14. В таблице «Амортизационные отчисления и другие вычеты по фиксированным активам» указываются: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1) в графе 1 – порядковый номер строки;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2) в графе 2 – наименование стоимостных показателей и вычетов по фиксированным активам;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3) в графе 3 – показатели, предназначенные для отражения вычетов по зданиям, сооружениям (за исключением нефтяных, газовых скважин и передаточных устройств), заполняемые на основании итоговых данных таблицы «Расшифровка амортизационных отчислений и других вычетов по фиксированным активам», предусмотренной настоящей формой налогового регистра;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4) в графе 4 – показатели, предназначенные для отражения вычетов по оставшимся группам фиксированных активов, заполняемые на основании итоговых данных таблицы «Расшифровка амортизационных отчислений и других вычетов по фиксированным активам»;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5) в графе 5 – итоговые показатели, предназначенные для отражения вычетов по фиксированным активам. Определяется как сумма соответствующих граф 3 и 4.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15. В таблице «Расшифровка амортизационных отчислений и других вычетов по фиксированным активам» указываются: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1) в графе 1 – порядковый номер строки;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2) в графе 2 – код основных средств по I группе фиксированных активов в соответствии с Государственным классификатором Республики Казахстан «Классификатор основных фондов» или наименование группы по II, III и IV группам фиксированных активов, по которым производится исчисление амортизационных отчислений налогоплательщиком в соответствии с Налоговым кодексом;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3) в графе 3 – номер группы фиксированных активов для исчисления амортизационных отчислений в соответствии с Налоговым кодексом;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4) в графе 4 – предельные нормы амортизации в процентах в соответствии с Налоговым кодексом;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5) в графе 5 – нормы амортизации, применяемые налогоплательщиком в процентах по каждой подгруппе (группе), но не выше предельных, указанных в графе 4;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6) в графе 6 – по каждой налоговой подгруппе (группе) указывается величина стоимостного баланса подгруппы (группы) на начало налогового периода. Итоговые величины настоящей графы определяются в итоговых строках по зданиям, строениям и по оставшимся группам фиксированных активов путем суммирования всех соответствующих величин, отраженных в этой графе налогового регистра за налоговый период;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lastRenderedPageBreak/>
        <w:t>7) в графе 7 – стоимость поступивших фиксированных активов, определенная в соответствии с Налоговым кодексом. Стоимость указанных основных средств и нематериальных активов определяется в соответствии с Налоговым кодексом. Итоговые величины настоящей графы определяются в итоговых строках по зданиям, строениям и по оставшимся группам фиксированных активов путем суммирования всех соответствующих величин, отраженных в этой графе налогового регистра за налоговый период;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8) в графе 8 – стоимость выбывших фиксированных активов, определенная в соответствии с Налоговым кодексом. Итоговые величины настоящей графы определяются в итоговых строках по зданиям, строениям и по оставшимся группам фиксированных активов путем суммирования всех соответствующих величин, отраженных в этой графе налогового регистра за налоговый период;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9) в графе 9 – сумма последующих расходов, относимых на вычеты в соответствии со статьей 122 Налогового кодекса;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10) в графе 10 – сумма последующих расходов, относимых на увеличение стоимостного баланса группы (подгруппы) в соответствии с пунктом 3 статьи 122 Налогового кодекса;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11) в графе 11 – величина стоимостного баланса подгруппы на конец отчетного налогового периода в соответствии с Налоговым кодексом, которая определяется в следующем порядке: графа 6 + графа 7 - графа 8 + графа 10. Итоговые величины настоящей графы определяются в итоговых строках по зданиям, строениям и по оставшимся группам фиксированных активов путем суммирования всех соответствующих величин, отраженных в этой графе налогового регистра за налоговый период;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12) в графе 12 – сумма амортизационных отчислений за налоговый период, исчисленная в соответствии с Налоговым кодексом в следующем порядке: графа 11 х графу 5;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13) в графе 13 – величина стоимостного баланса фиксированных активов группы (II, III и IV) при выбытии фиксированных активов на конец налогового периода подлежит вычету в соответствии с Налоговым кодексом;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14) в графе 14 – стоимостный баланс подгруппы (группы), величина которого на конец отчетного налогового периода составляет сумму меньшую, чем 300 месячных расчетных показателей и подлежит вычету в соответствии с Налоговым кодексом. Итоговые величины настоящей графы определяются в итоговых строках по зданиям, строениям и по оставшимся группам фиксированных активов путем суммирования всех соответствующих величин, отраженных в этой графе налогового регистра за налоговый период;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15) в графе 15 – стоимостный баланс подгруппы на конец налогового периода с учетом корректировок, предусмотренных Налоговым кодексом, который определяется в следующем порядке: графа 11 - графа 12 - графа 13 - графа 14.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В случае выбытия, за исключением безвозмездной передачи, фиксированного актива подгруппы (по I группе) сумма в размере стоимостного баланса подгруппы на конец налогового периода признается убытком от выбытия фиксированных активов I группы. Стоимостный баланс данной подгруппы приравнивается к нулю и не подлежит вычету.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В случае безвозмездной передачи всех фиксированных активов подгруппы (по I группе) или группы (по II, III и IV группам) стоимостный баланс соответствующей подгруппы или группы на конец налогового периода приравнивается к нулю и не подлежит вычету. Итоговые величины настоящей графы определяются в итоговых строках по зданиям, строениям и по оставшимся группам фиксированных активов путем суммирования всех соответствующих величин, отраженных в этой графе налогового регистра за налоговый период.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lastRenderedPageBreak/>
        <w:t xml:space="preserve">16. В таблице «Амортизационные отчисления по фиксированным активам, впервые введенным в эксплуатацию на территории Республики Казахстан» (заполняется налогоплательщиками, являющимися </w:t>
      </w:r>
      <w:proofErr w:type="spellStart"/>
      <w:r w:rsidRPr="00107728">
        <w:rPr>
          <w:color w:val="0A0A0A"/>
          <w:sz w:val="22"/>
          <w:szCs w:val="22"/>
        </w:rPr>
        <w:t>недропользователями</w:t>
      </w:r>
      <w:proofErr w:type="spellEnd"/>
      <w:r w:rsidRPr="00107728">
        <w:rPr>
          <w:color w:val="0A0A0A"/>
          <w:sz w:val="22"/>
          <w:szCs w:val="22"/>
        </w:rPr>
        <w:t>, в соответствии с условиями, предусмотренными Налоговым кодексом) указываются: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1) в графе 1 – порядковый номер строки;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2) в графе 2 – код фиксированных активов, впервые введенных в эксплуатацию на территории Республики Казахстан в соответствии с Государственным классификатором Республики Казахстан «Классификатор основных фондов»;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3) в графе 3 – дата ввода в эксплуатацию на территории Республики Казахстан соответствующего фиксированного актива;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4) в графе 4 – номер группы фиксированных активов в соответствии с Налоговым кодексом;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5) в графе 5 – предельные нормы амортизации в процентах в соответствии с Налоговым кодексом;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6) в графе 6 - нормы амортизации, применяемые налогоплательщиком в процентах по каждому наименованию фиксированных активов, но не выше предельных, указанных в графе 5;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7) в графе 7 – двойные нормы амортизаций, применяемые налогоплательщиком в соответствии с пунктом 6 статьи 120 Налогового кодекса, определяемые как произведение величины графы 6 на «2» соответствующей строки;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8) в графе 8 – стоимость поступивших фиксированных активов, впервые введенных в эксплуатацию на территории Республики Казахстан и используемых налогоплательщиком в целях получения совокупного годового дохода.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9) в графе 9 – сумма амортизационных отчислений, исчисленная по двойной норме амортизации, при условии использования данных фиксированных активов в целях получения совокупного годового дохода не менее трех лет в соответствии с Налоговым кодексом, определяемая как произведение величин, указанных в графах 7 и 8 соответствующих строк.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10) в графе 10 – остаточная стоимость фиксированных активов, впервые введенных в эксплуатацию на территории Республики Казахстан в налоговом периоде, которая используется в целях получения совокупного годового дохода, определятся как разница граф 8 и 9. В последующем налоговом периоде данные этой графы подлежат включению в стоимостный баланс соответствующей подгруппы (группы) для исчисления амортизационных отчислений в целях налогообложения и переносятся в соответствующую графу 7 таблицы «Расшифровка амортизационных отчислений и других вычетов по фиксированным активам» налогового регистра следующего налогового периода.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11) в графе 11 – дата выбытия соответствующего фиксированного актива в случае его реализации до истечения трехлетнего периода эксплуатации.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17.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–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lastRenderedPageBreak/>
        <w:t>При внесении изменения и (или) дополнения в налоговый регистр в дополнительном налоговом регистре указываются соответствующие реквизиты и показатели соответствующей графы, а также данные тех граф таблиц налогового регистра, суммарное значение которых зависит от измененных показателей графы. При этом в дополнительном налоговом регистре также отражаются реквизиты не измененных граф 2, 3, 4 и 5 таблицы «Расшифровка амортизационных отчислений и других вычетов по фиксированным активам» и (или) не измененных граф 2, 3, 4, 5, 6 и 11 таблицы «Амортизационные отчисления по фиксированным активам, впервые введенным в эксплуатацию на территории Республики Казахстан» налогового регистра.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При внесении изменений, направленных на уменьшение значений граф таблиц налогового регистра, к соответствующим значениям дополнительного налогового регистра применяется знак минус «-».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В случае дополнительного внесения изменения фиксированных активов в налоговый регистр дополнительный налоговый регистр составляется в соответствии с пунктами 15-16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регистре, за период, в который вносятся дополнения.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18.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19. К дополнительному налоговому регистру прилагается письменное обоснование, которое подписывается лицами, составившими дополнительную форму налогового регистра, и заверяется печатью (при ее наличии) налогоплательщика, с указанием: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1) причины внесения изменений и (или) дополнений в налоговый регистр;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2) номера группы фиксированного актива и номер строки налогового регистра, в который вносятся изменения;</w:t>
      </w:r>
    </w:p>
    <w:p w:rsidR="00107728" w:rsidRPr="00107728" w:rsidRDefault="00107728" w:rsidP="00107728">
      <w:pPr>
        <w:pStyle w:val="a3"/>
        <w:shd w:val="clear" w:color="auto" w:fill="FFFFFF"/>
        <w:rPr>
          <w:color w:val="0A0A0A"/>
          <w:sz w:val="22"/>
          <w:szCs w:val="22"/>
        </w:rPr>
      </w:pPr>
      <w:r w:rsidRPr="00107728">
        <w:rPr>
          <w:color w:val="0A0A0A"/>
          <w:sz w:val="22"/>
          <w:szCs w:val="22"/>
        </w:rPr>
        <w:t>3) даты составления письменного обоснования.</w:t>
      </w:r>
    </w:p>
    <w:p w:rsidR="00424906" w:rsidRPr="00107728" w:rsidRDefault="00424906">
      <w:pPr>
        <w:rPr>
          <w:rFonts w:ascii="Times New Roman" w:hAnsi="Times New Roman" w:cs="Times New Roman"/>
        </w:rPr>
      </w:pPr>
    </w:p>
    <w:sectPr w:rsidR="00424906" w:rsidRPr="00107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DE4"/>
    <w:rsid w:val="00107728"/>
    <w:rsid w:val="00424906"/>
    <w:rsid w:val="0098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AB542-39F7-4BDE-8BD9-3C34EC47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077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10772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077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077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07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4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22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2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2058</Words>
  <Characters>11737</Characters>
  <Application>Microsoft Office Word</Application>
  <DocSecurity>0</DocSecurity>
  <Lines>97</Lines>
  <Paragraphs>27</Paragraphs>
  <ScaleCrop>false</ScaleCrop>
  <Company>SPecialiST RePack</Company>
  <LinksUpToDate>false</LinksUpToDate>
  <CharactersWithSpaces>13768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2020-02-04T10:59:00Z</dcterms:created>
  <dcterms:modified xsi:type="dcterms:W3CDTF">2020-02-04T11:02:00Z</dcterms:modified>
</cp:coreProperties>
</file>