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D872A5" w:rsidRPr="00D872A5" w:rsidRDefault="00D872A5" w:rsidP="00D872A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</w:t>
      </w:r>
      <w:bookmarkStart w:id="0" w:name="_GoBack"/>
      <w:bookmarkEnd w:id="0"/>
      <w:r w:rsidRPr="00D872A5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я.</w:t>
      </w:r>
    </w:p>
    <w:p w:rsidR="00663456" w:rsidRPr="00D872A5" w:rsidRDefault="00663456">
      <w:pPr>
        <w:rPr>
          <w:rFonts w:ascii="Times New Roman" w:hAnsi="Times New Roman" w:cs="Times New Roman"/>
          <w:sz w:val="24"/>
          <w:szCs w:val="24"/>
        </w:rPr>
      </w:pPr>
    </w:p>
    <w:p w:rsidR="00D872A5" w:rsidRPr="00D872A5" w:rsidRDefault="00D872A5">
      <w:pPr>
        <w:rPr>
          <w:rFonts w:ascii="Times New Roman" w:hAnsi="Times New Roman" w:cs="Times New Roman"/>
          <w:sz w:val="24"/>
          <w:szCs w:val="24"/>
        </w:rPr>
      </w:pPr>
    </w:p>
    <w:p w:rsidR="00D872A5" w:rsidRPr="00D872A5" w:rsidRDefault="00D872A5" w:rsidP="00D872A5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D872A5">
        <w:rPr>
          <w:bCs w:val="0"/>
          <w:color w:val="0A0A0A"/>
          <w:sz w:val="24"/>
          <w:szCs w:val="24"/>
        </w:rPr>
        <w:lastRenderedPageBreak/>
        <w:t>Глава 3. Составление формы налогового регистра по определению стоимостных балансов групп (подгрупп) фиксированных активов и последующим расходам по фиксированным активам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13. </w:t>
      </w:r>
      <w:r w:rsidRPr="00D872A5">
        <w:rPr>
          <w:rStyle w:val="s2"/>
          <w:color w:val="0A0A0A"/>
        </w:rPr>
        <w:t>Форма налогового регистра по определению стоимостных балансов</w:t>
      </w:r>
      <w:r w:rsidRPr="00D872A5">
        <w:rPr>
          <w:color w:val="0A0A0A"/>
        </w:rPr>
        <w:t> групп (подгрупп) фиксированных активов и последующим расходам по фиксированным активам предназначена для определения стоимостных балансов групп (подгрупп) фиксированных активов и последующих расходов по фиксированным активам, в целях налогообложения в соответствии с разделом 7 </w:t>
      </w:r>
      <w:r w:rsidRPr="00D872A5">
        <w:rPr>
          <w:rStyle w:val="s2"/>
          <w:color w:val="0A0A0A"/>
        </w:rPr>
        <w:t>Налогового кодекса</w:t>
      </w:r>
      <w:r w:rsidRPr="00D872A5">
        <w:rPr>
          <w:color w:val="0A0A0A"/>
        </w:rPr>
        <w:t>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14. В таблице «Амортизационные отчисления и другие вычеты по фиксированным активам» указываются: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1) в графе 1 - порядковый номер строки;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2) в графе 2 - наименование стоимостных показателей и вычетов по фиксированным активам;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3) в графе 3 - показатели, предназначенные для отражения вычетов по зданиям, сооружениям (за исключением нефтяных, газовых скважин и передаточных устройств), заполняемые на основании итоговых данных таблицы «Расшифровка амортизационных отчислений и других вычетов по фиксированным активам», предусмотренной настоящей формой налогового регистра;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4) в графе 4 - показатели, предназначенные для отражения вычетов по оставшимся группам фиксированных активов, заполняемые на основании итоговых данных таблицы «Расшифровка амортизационных отчислений и других вычетов по фиксированным активам»;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5) в графе 5 - итоговые показатели, предназначенные для отражения вычетов по фиксированным активам. Определяется как сумма соответствующих граф 3 и 4.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15. В таблице «Расшифровка амортизационных отчислений и других вычетов по фиксированным активам» указываются: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1) в графе 1 - порядковый номер строки;</w:t>
      </w:r>
    </w:p>
    <w:p w:rsidR="00D872A5" w:rsidRPr="00D872A5" w:rsidRDefault="00D872A5" w:rsidP="00D872A5">
      <w:pPr>
        <w:pStyle w:val="j13"/>
        <w:shd w:val="clear" w:color="auto" w:fill="FFFFFF"/>
        <w:rPr>
          <w:color w:val="0A0A0A"/>
        </w:rPr>
      </w:pPr>
      <w:r w:rsidRPr="00D872A5">
        <w:rPr>
          <w:color w:val="0A0A0A"/>
        </w:rPr>
        <w:t>2) </w:t>
      </w:r>
      <w:r w:rsidRPr="00D872A5">
        <w:rPr>
          <w:rStyle w:val="s0"/>
          <w:color w:val="0A0A0A"/>
        </w:rPr>
        <w:t>в графе 2 - код основных средств по I группе фиксированных активов в соответствии с </w:t>
      </w:r>
      <w:r w:rsidRPr="00D872A5">
        <w:rPr>
          <w:rStyle w:val="s2"/>
          <w:color w:val="0A0A0A"/>
        </w:rPr>
        <w:t>Государственным классификатором</w:t>
      </w:r>
      <w:r w:rsidRPr="00D872A5">
        <w:rPr>
          <w:rStyle w:val="s0"/>
          <w:color w:val="0A0A0A"/>
        </w:rPr>
        <w:t> Республики Казахстан «Классификатор основных фондов», установленный государственным органом, осуществляющим государственное регулирование в области технического регулирования или наименование группы (по II, III и IV группам) фиксированных активов, по которым производится исчисление амортизационных отчислений налогоплательщиком в соответствии со статьей 271 Налогового кодекса;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3) в графе 3 - номер группы фиксированных активов для исчисления амортизационных отчислений в соответствии со статьей 267 Налогового кодекса;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4) в графе 4 - предельные нормы амортизации в процентах в соответствии со статьями 269, 271 Налогового кодекса;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lastRenderedPageBreak/>
        <w:t>5) в графе 5 - нормы амортизации, применяемые налогоплательщиком в процентах по каждой подгруппе (группе), но не выше предельных, указанных в графе 4;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6) в графе 6 - по каждой налоговой подгруппе (группе) указывается величина стоимостного баланса подгруппы (группы) на начало налогового периода. Итоговые величины данной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7) в графе 7 - стоимость поступивших фиксированных активов, определенная в соответствии со статьями 268, 269 Налогового кодекса. Стоимость указанных основных средств и нематериальных активов определяется в соответствии со статьями 268, 269 Налогового кодекса.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8) в графе 8 - стоимость выбывших фиксированных активов, определенная в соответствии со статьей 270 Налогового кодекса.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9) в графе 9 - сумма последующих расходов, относимых на вычеты в соответствии со </w:t>
      </w:r>
      <w:r w:rsidRPr="00D872A5">
        <w:rPr>
          <w:rStyle w:val="s2"/>
          <w:color w:val="0A0A0A"/>
        </w:rPr>
        <w:t>статьей </w:t>
      </w:r>
      <w:r w:rsidRPr="00D872A5">
        <w:rPr>
          <w:color w:val="0A0A0A"/>
        </w:rPr>
        <w:t>272 Налогового кодекса;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10) в графе 10 - сумма последующих расходов, относимых на увеличение стоимостного баланса группы (подгруппы) в соответствии с </w:t>
      </w:r>
      <w:r w:rsidRPr="00D872A5">
        <w:rPr>
          <w:rStyle w:val="s2"/>
          <w:color w:val="0A0A0A"/>
        </w:rPr>
        <w:t>пунктом 2 статьи </w:t>
      </w:r>
      <w:r w:rsidRPr="00D872A5">
        <w:rPr>
          <w:color w:val="0A0A0A"/>
        </w:rPr>
        <w:t>272 Налогового кодекса;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11) в графе 11 - величина стоимостного баланса подгруппы на конец отчетного налогового периода в соответствии со статьей 267 Налогового кодекса, которая определяется в следующем порядке: графа 6 + графа 7 - графа 8 + графа 10.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12) в графе 12 - сумма амортизационных отчислений за налоговый период, исчисленная в соответствии со статьей 271 Налогового кодекса в следующем порядке: графа 11 х графа 5;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13) в графе 13 - величина стоимостного баланса фиксированных активов группы (II, III и IV) при выбытии фиксированных активов на конец налогового периода подлежит вычету в соответствии со статьей 273 Налогового кодекса;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14) в графе 14 - стоимостный баланс подгруппы (группы), величина которого на конец отчетного налогового периода составляет сумму меньшую, чем 300 </w:t>
      </w:r>
      <w:r w:rsidRPr="00D872A5">
        <w:rPr>
          <w:rStyle w:val="s2"/>
          <w:color w:val="0A0A0A"/>
        </w:rPr>
        <w:t>месячных расчетных показателей</w:t>
      </w:r>
      <w:r w:rsidRPr="00D872A5">
        <w:rPr>
          <w:color w:val="0A0A0A"/>
        </w:rPr>
        <w:t> и подлежит вычету в соответствии со статьей 273 Налогового кодекса.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lastRenderedPageBreak/>
        <w:t>15) в графе 15 - стоимостный баланс подгруппы (группы) на конец налогового периода с учетом корректировок, предусмотренных Налоговым кодексом, который определяется в следующем порядке: графа 11 - графа 12 - графа 13 - графа 14.</w:t>
      </w:r>
    </w:p>
    <w:p w:rsidR="00D872A5" w:rsidRPr="00D872A5" w:rsidRDefault="00D872A5" w:rsidP="00D872A5">
      <w:pPr>
        <w:pStyle w:val="j13"/>
        <w:shd w:val="clear" w:color="auto" w:fill="FFFFFF"/>
        <w:rPr>
          <w:color w:val="0A0A0A"/>
        </w:rPr>
      </w:pPr>
      <w:r w:rsidRPr="00D872A5">
        <w:rPr>
          <w:rStyle w:val="s0"/>
          <w:color w:val="0A0A0A"/>
        </w:rPr>
        <w:t>В случае выбытия, за исключением безвозмездной передачи, фиксированного актива подгруппы (по I группе) сумма в размере стоимостного баланса подгруппы на конец налогового периода признается убытком от выбытия фиксированных активов I группы. Стоимостный баланс данной подгруппы приравнивается к нулю и не подлежит вычету.</w:t>
      </w:r>
    </w:p>
    <w:p w:rsidR="00D872A5" w:rsidRPr="00D872A5" w:rsidRDefault="00D872A5" w:rsidP="00D872A5">
      <w:pPr>
        <w:pStyle w:val="j13"/>
        <w:shd w:val="clear" w:color="auto" w:fill="FFFFFF"/>
        <w:rPr>
          <w:color w:val="0A0A0A"/>
        </w:rPr>
      </w:pPr>
      <w:r w:rsidRPr="00D872A5">
        <w:rPr>
          <w:rStyle w:val="s0"/>
          <w:color w:val="0A0A0A"/>
        </w:rPr>
        <w:t>В случае безвозмездной передачи всех фиксированных активов подгруппы (по I группе) или группы (по II, III и IV группам) стоимостный баланс соответствующей подгруппы или группы на конец налогового периода приравнивается к нулю и не подлежит вычету. Итоговые величины настоящей графы определяются в итоговых строках по зданиям, строениям и по оставшимся группам фиксированных активов путем суммирования всех соответствующих величин, отраженных в этой графе налогового регистра за налоговый период.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 xml:space="preserve">16. В таблице «Амортизационные отчисления по фиксированным активам, впервые введенным в эксплуатацию на территории Республики Казахстан» (заполняется налогоплательщиками, являющимися </w:t>
      </w:r>
      <w:proofErr w:type="spellStart"/>
      <w:r w:rsidRPr="00D872A5">
        <w:rPr>
          <w:color w:val="0A0A0A"/>
        </w:rPr>
        <w:t>недропользователями</w:t>
      </w:r>
      <w:proofErr w:type="spellEnd"/>
      <w:r w:rsidRPr="00D872A5">
        <w:rPr>
          <w:color w:val="0A0A0A"/>
        </w:rPr>
        <w:t>, в соответствии с условиями, предусмотренными статьей 271 Налогового кодекса) указываются: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1) в графе 1 - порядковый номер строки;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2) в графе 2 - код фиксированных активов, впервые введенных в эксплуатацию на территории Республики Казахстан в соответствии с </w:t>
      </w:r>
      <w:r w:rsidRPr="00D872A5">
        <w:rPr>
          <w:rStyle w:val="s2"/>
          <w:color w:val="0A0A0A"/>
        </w:rPr>
        <w:t>Государственным классификатором</w:t>
      </w:r>
      <w:r w:rsidRPr="00D872A5">
        <w:rPr>
          <w:color w:val="0A0A0A"/>
        </w:rPr>
        <w:t> Республики Казахстан «Классификатор основных фондов»;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3) в графе 3 - дата ввода в эксплуатацию на территории Республики Казахстан соответствующего фиксированного актива;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4) в графе 4 - номер группы фиксированных активов в соответствии со статьей 267 Налогового кодекса;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 xml:space="preserve">5) в графе 5 - предельные нормы амортизации в процентах </w:t>
      </w:r>
      <w:proofErr w:type="gramStart"/>
      <w:r w:rsidRPr="00D872A5">
        <w:rPr>
          <w:color w:val="0A0A0A"/>
        </w:rPr>
        <w:t>в  соответствии</w:t>
      </w:r>
      <w:proofErr w:type="gramEnd"/>
      <w:r w:rsidRPr="00D872A5">
        <w:rPr>
          <w:color w:val="0A0A0A"/>
        </w:rPr>
        <w:t xml:space="preserve"> со статьей 271 Налогового кодекса;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6) в графе 6 - нормы амортизации, применяемые налогоплательщиком в процентах по каждому наименованию фиксированных активов, но не выше предельных, указанных в графе 5;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7) в графе 7 - двойные нормы амортизации, применяемые налогоплательщиком в соответствии с </w:t>
      </w:r>
      <w:r w:rsidRPr="00D872A5">
        <w:rPr>
          <w:rStyle w:val="s2"/>
          <w:color w:val="0A0A0A"/>
        </w:rPr>
        <w:t>пунктом 7 статьи </w:t>
      </w:r>
      <w:r w:rsidRPr="00D872A5">
        <w:rPr>
          <w:color w:val="0A0A0A"/>
        </w:rPr>
        <w:t>271 Налогового кодекса, определяемые как произведение величины графы 6 на «2» соответствующей строки;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8) в графе 8 - стоимость поступивших фиксированных активов, впервые введенных в эксплуатацию на территории Республики Казахстан и используемых налогоплательщиком в целях получения совокупного годового дохода.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lastRenderedPageBreak/>
        <w:t>9) в графе 9 - сумма амортизационных отчислений, исчисленная по двойной норме амортизации, при условии использования данных фиксированных активов в целях получения совокупного годового дохода не менее трех лет в соответствии со статьей 271 Налогового кодекса, определяемая как произведение величин, указанных в графах 7 и 8 соответствующих строк.  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10) в графе 10 - остаточная стоимость фиксированных активов, впервые введенных в эксплуатацию на территории Республики Казахстан в налоговом периоде, которая используется в целях получения совокупного годового дохода, определятся как разница граф 8 и 9. В последующем налоговом периоде данные этой графы подлежат включению в стоимостный баланс соответствующей подгруппы (группы) для исчисления амортизационных отчислений в целях налогообложения и переносятся в соответствующую графу 7 таблицы «Расшифровка амортизационных отчислений и других вычетов по фиксированным активам» налогового регистра следующего налогового периода. Итоговая величина настоящей графы определяется в последней строке путем суммирования всех величин, отраженных в этой графе налогового регистра за налоговый период;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11) в графе 11 - дата выбытия соответствующего фиксированного актива в случае его реализации до истечения трехлетнего периода эксплуатации.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17.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При внесении изменения и (или) дополнения в налоговый регистр в дополнительном налоговом регистре указываются соответствующие реквизиты и показатели соответствующей графы, а также данные тех граф таблиц налогового регистра, суммарное значение которых зависит от измененных показателей графы. При этом в дополнительном налоговом регистре также отражаются реквизиты не измененных граф 2, 3, 4 и 5 таблицы «Расшифровка амортизационных отчислений и других вычетов по фиксированным активам» и (или) не измененных граф 2, 3, 4, 5, 6 и 11 таблицы «Амортизационные отчисления по фиксированным активам, впервые введенным в эксплуатацию на территории Республики Казахстан» налогового регистра.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При внесении изменений, направленных на уменьшение значений граф таблиц налогового регистра, к соответствующим значениям дополнительного налогового регистра применяется знак минус «-».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В случае дополнительного внесения изменения фиксированных активов в налоговый регистр дополнительный налоговый регистр составляется в соответствии с пунктами 15 - 16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дополнения.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18.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lastRenderedPageBreak/>
        <w:t>19.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1) причины внесения изменений и (или) дополнений в налоговый регистр;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2) номера группы фиксированного актива и номер строки налогового регистра, в который вносятся изменения;</w:t>
      </w:r>
    </w:p>
    <w:p w:rsidR="00D872A5" w:rsidRPr="00D872A5" w:rsidRDefault="00D872A5" w:rsidP="00D872A5">
      <w:pPr>
        <w:pStyle w:val="j135"/>
        <w:shd w:val="clear" w:color="auto" w:fill="FFFFFF"/>
        <w:rPr>
          <w:color w:val="0A0A0A"/>
        </w:rPr>
      </w:pPr>
      <w:r w:rsidRPr="00D872A5">
        <w:rPr>
          <w:color w:val="0A0A0A"/>
        </w:rPr>
        <w:t>3) даты составления письменного обоснования.</w:t>
      </w:r>
    </w:p>
    <w:p w:rsidR="00D872A5" w:rsidRPr="00D872A5" w:rsidRDefault="00D872A5">
      <w:pPr>
        <w:rPr>
          <w:rFonts w:ascii="Times New Roman" w:hAnsi="Times New Roman" w:cs="Times New Roman"/>
          <w:sz w:val="24"/>
          <w:szCs w:val="24"/>
        </w:rPr>
      </w:pPr>
    </w:p>
    <w:sectPr w:rsidR="00D872A5" w:rsidRPr="00D87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BB6"/>
    <w:rsid w:val="00663456"/>
    <w:rsid w:val="00D872A5"/>
    <w:rsid w:val="00D9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7B0327-42A9-4809-BDDF-4170CDFB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D872A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D872A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D872A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872A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87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D87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D872A5"/>
  </w:style>
  <w:style w:type="paragraph" w:customStyle="1" w:styleId="j13">
    <w:name w:val="j13"/>
    <w:basedOn w:val="a"/>
    <w:rsid w:val="00D87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D87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9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0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3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2073</Words>
  <Characters>11820</Characters>
  <Application>Microsoft Office Word</Application>
  <DocSecurity>0</DocSecurity>
  <Lines>98</Lines>
  <Paragraphs>27</Paragraphs>
  <ScaleCrop>false</ScaleCrop>
  <Company>SPecialiST RePack</Company>
  <LinksUpToDate>false</LinksUpToDate>
  <CharactersWithSpaces>13866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2020-02-04T11:16:00Z</dcterms:created>
  <dcterms:modified xsi:type="dcterms:W3CDTF">2020-02-04T11:19:00Z</dcterms:modified>
</cp:coreProperties>
</file>