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8420"/>
        <w:gridCol w:w="4960"/>
      </w:tblGrid>
      <w:tr w:rsidR="000F66DA" w:rsidRPr="000F66DA" w14:paraId="3AC6C7CB" w14:textId="77777777" w:rsidTr="000F66DA">
        <w:trPr>
          <w:gridAfter w:val="1"/>
          <w:wAfter w:w="3420" w:type="dxa"/>
        </w:trPr>
        <w:tc>
          <w:tcPr>
            <w:tcW w:w="3420" w:type="dxa"/>
            <w:tcBorders>
              <w:top w:val="nil"/>
              <w:left w:val="nil"/>
              <w:bottom w:val="nil"/>
              <w:right w:val="nil"/>
            </w:tcBorders>
            <w:shd w:val="clear" w:color="auto" w:fill="auto"/>
            <w:tcMar>
              <w:top w:w="45" w:type="dxa"/>
              <w:left w:w="75" w:type="dxa"/>
              <w:bottom w:w="45" w:type="dxa"/>
              <w:right w:w="75" w:type="dxa"/>
            </w:tcMar>
            <w:hideMark/>
          </w:tcPr>
          <w:p w14:paraId="2F71C607" w14:textId="77777777" w:rsidR="000F66DA" w:rsidRPr="000F66DA" w:rsidRDefault="000F66DA" w:rsidP="000F66DA">
            <w:pPr>
              <w:spacing w:after="0" w:line="240" w:lineRule="auto"/>
              <w:jc w:val="right"/>
              <w:rPr>
                <w:rFonts w:ascii="Times New Roman" w:eastAsia="Times New Roman" w:hAnsi="Times New Roman" w:cs="Times New Roman"/>
                <w:color w:val="000000"/>
                <w:sz w:val="24"/>
                <w:szCs w:val="24"/>
                <w:lang w:eastAsia="ru-RU"/>
              </w:rPr>
            </w:pPr>
            <w:r w:rsidRPr="000F66DA">
              <w:rPr>
                <w:rFonts w:ascii="Times New Roman" w:eastAsia="Times New Roman" w:hAnsi="Times New Roman" w:cs="Times New Roman"/>
                <w:color w:val="000000"/>
                <w:sz w:val="24"/>
                <w:szCs w:val="24"/>
                <w:lang w:eastAsia="ru-RU"/>
              </w:rPr>
              <w:t>Утверждены</w:t>
            </w:r>
            <w:r w:rsidRPr="000F66DA">
              <w:rPr>
                <w:rFonts w:ascii="Times New Roman" w:eastAsia="Times New Roman" w:hAnsi="Times New Roman" w:cs="Times New Roman"/>
                <w:color w:val="000000"/>
                <w:sz w:val="24"/>
                <w:szCs w:val="24"/>
                <w:lang w:eastAsia="ru-RU"/>
              </w:rPr>
              <w:br/>
              <w:t>приказом Министра финансов</w:t>
            </w:r>
            <w:r w:rsidRPr="000F66DA">
              <w:rPr>
                <w:rFonts w:ascii="Times New Roman" w:eastAsia="Times New Roman" w:hAnsi="Times New Roman" w:cs="Times New Roman"/>
                <w:color w:val="000000"/>
                <w:sz w:val="24"/>
                <w:szCs w:val="24"/>
                <w:lang w:eastAsia="ru-RU"/>
              </w:rPr>
              <w:br/>
              <w:t>Республики Казахстан</w:t>
            </w:r>
            <w:r w:rsidRPr="000F66DA">
              <w:rPr>
                <w:rFonts w:ascii="Times New Roman" w:eastAsia="Times New Roman" w:hAnsi="Times New Roman" w:cs="Times New Roman"/>
                <w:color w:val="000000"/>
                <w:sz w:val="24"/>
                <w:szCs w:val="24"/>
                <w:lang w:eastAsia="ru-RU"/>
              </w:rPr>
              <w:br/>
              <w:t>от 16 марта 2015 года № 176</w:t>
            </w:r>
          </w:p>
        </w:tc>
      </w:tr>
      <w:tr w:rsidR="000F66DA" w:rsidRPr="000F66DA" w14:paraId="4CAD4F86" w14:textId="77777777" w:rsidTr="000F66DA">
        <w:tc>
          <w:tcPr>
            <w:tcW w:w="5805" w:type="dxa"/>
            <w:tcBorders>
              <w:top w:val="nil"/>
              <w:left w:val="nil"/>
              <w:bottom w:val="nil"/>
              <w:right w:val="nil"/>
            </w:tcBorders>
            <w:shd w:val="clear" w:color="auto" w:fill="auto"/>
            <w:tcMar>
              <w:top w:w="45" w:type="dxa"/>
              <w:left w:w="75" w:type="dxa"/>
              <w:bottom w:w="45" w:type="dxa"/>
              <w:right w:w="75" w:type="dxa"/>
            </w:tcMar>
            <w:hideMark/>
          </w:tcPr>
          <w:p w14:paraId="76EB9AFF" w14:textId="77777777" w:rsidR="000F66DA" w:rsidRPr="000F66DA" w:rsidRDefault="000F66DA" w:rsidP="000F66DA">
            <w:pPr>
              <w:spacing w:after="0" w:line="240" w:lineRule="auto"/>
              <w:jc w:val="center"/>
              <w:rPr>
                <w:rFonts w:ascii="Times New Roman" w:eastAsia="Times New Roman" w:hAnsi="Times New Roman" w:cs="Times New Roman"/>
                <w:color w:val="000000"/>
                <w:sz w:val="24"/>
                <w:szCs w:val="24"/>
                <w:lang w:eastAsia="ru-RU"/>
              </w:rPr>
            </w:pPr>
            <w:r w:rsidRPr="000F66DA">
              <w:rPr>
                <w:rFonts w:ascii="Times New Roman" w:eastAsia="Times New Roman" w:hAnsi="Times New Roman" w:cs="Times New Roman"/>
                <w:color w:val="000000"/>
                <w:sz w:val="24"/>
                <w:szCs w:val="24"/>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14:paraId="47A62A30" w14:textId="77777777" w:rsidR="000F66DA" w:rsidRPr="000F66DA" w:rsidRDefault="000F66DA" w:rsidP="000F66DA">
            <w:pPr>
              <w:spacing w:after="0" w:line="240" w:lineRule="auto"/>
              <w:jc w:val="center"/>
              <w:rPr>
                <w:rFonts w:ascii="Times New Roman" w:eastAsia="Times New Roman" w:hAnsi="Times New Roman" w:cs="Times New Roman"/>
                <w:color w:val="000000"/>
                <w:sz w:val="24"/>
                <w:szCs w:val="24"/>
                <w:lang w:eastAsia="ru-RU"/>
              </w:rPr>
            </w:pPr>
          </w:p>
        </w:tc>
      </w:tr>
    </w:tbl>
    <w:p w14:paraId="2FD0AA96" w14:textId="77777777" w:rsidR="000F66DA" w:rsidRPr="000F66DA" w:rsidRDefault="000F66DA" w:rsidP="000F66DA">
      <w:pPr>
        <w:shd w:val="clear" w:color="auto" w:fill="FFFFFF"/>
        <w:spacing w:before="225" w:after="135" w:line="390" w:lineRule="atLeast"/>
        <w:jc w:val="center"/>
        <w:textAlignment w:val="baseline"/>
        <w:outlineLvl w:val="2"/>
        <w:rPr>
          <w:rFonts w:ascii="Times New Roman" w:eastAsia="Times New Roman" w:hAnsi="Times New Roman" w:cs="Times New Roman"/>
          <w:b/>
          <w:bCs/>
          <w:color w:val="1E1E1E"/>
          <w:sz w:val="24"/>
          <w:szCs w:val="24"/>
          <w:lang w:eastAsia="ru-RU"/>
        </w:rPr>
      </w:pPr>
      <w:r w:rsidRPr="000F66DA">
        <w:rPr>
          <w:rFonts w:ascii="Times New Roman" w:eastAsia="Times New Roman" w:hAnsi="Times New Roman" w:cs="Times New Roman"/>
          <w:b/>
          <w:bCs/>
          <w:color w:val="1E1E1E"/>
          <w:sz w:val="24"/>
          <w:szCs w:val="24"/>
          <w:lang w:eastAsia="ru-RU"/>
        </w:rPr>
        <w:t>Правила</w:t>
      </w:r>
      <w:r w:rsidRPr="000F66DA">
        <w:rPr>
          <w:rFonts w:ascii="Times New Roman" w:eastAsia="Times New Roman" w:hAnsi="Times New Roman" w:cs="Times New Roman"/>
          <w:b/>
          <w:bCs/>
          <w:color w:val="1E1E1E"/>
          <w:sz w:val="24"/>
          <w:szCs w:val="24"/>
          <w:lang w:eastAsia="ru-RU"/>
        </w:rPr>
        <w:br/>
        <w:t>осуществления мониторинга сделок</w:t>
      </w:r>
      <w:bookmarkStart w:id="0" w:name="_GoBack"/>
      <w:bookmarkEnd w:id="0"/>
    </w:p>
    <w:p w14:paraId="732D0D56" w14:textId="77777777" w:rsidR="000F66DA" w:rsidRPr="000F66DA" w:rsidRDefault="000F66DA" w:rsidP="000F66DA">
      <w:pPr>
        <w:shd w:val="clear" w:color="auto" w:fill="FFFFFF"/>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0F66DA">
        <w:rPr>
          <w:rFonts w:ascii="Times New Roman" w:eastAsia="Times New Roman" w:hAnsi="Times New Roman" w:cs="Times New Roman"/>
          <w:color w:val="1E1E1E"/>
          <w:sz w:val="24"/>
          <w:szCs w:val="24"/>
          <w:lang w:eastAsia="ru-RU"/>
        </w:rPr>
        <w:t>Глава 1. Общие положения</w:t>
      </w:r>
    </w:p>
    <w:p w14:paraId="2F2133E2"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 Настоящие Правила осуществления мониторинга сделок (далее – Правила) разработаны в соответствии с </w:t>
      </w:r>
      <w:hyperlink r:id="rId4" w:anchor="z73" w:history="1">
        <w:r w:rsidRPr="000F66DA">
          <w:rPr>
            <w:rFonts w:ascii="Times New Roman" w:eastAsia="Times New Roman" w:hAnsi="Times New Roman" w:cs="Times New Roman"/>
            <w:color w:val="073A5E"/>
            <w:spacing w:val="2"/>
            <w:sz w:val="24"/>
            <w:szCs w:val="24"/>
            <w:u w:val="single"/>
            <w:lang w:eastAsia="ru-RU"/>
          </w:rPr>
          <w:t>пунктом 4</w:t>
        </w:r>
      </w:hyperlink>
      <w:r w:rsidRPr="000F66DA">
        <w:rPr>
          <w:rFonts w:ascii="Times New Roman" w:eastAsia="Times New Roman" w:hAnsi="Times New Roman" w:cs="Times New Roman"/>
          <w:color w:val="000000"/>
          <w:spacing w:val="2"/>
          <w:sz w:val="24"/>
          <w:szCs w:val="24"/>
          <w:lang w:eastAsia="ru-RU"/>
        </w:rPr>
        <w:t> статьи 6 Закона Республики Казахстан "О трансфертном ценообразовании" (далее – Закон) и определяют порядок осуществления мониторинга сделок, который включает в себя порядок заполнения участником сделки утвержденных форм отчетности по мониторингу сделок и их представления в уполномоченные органы, порядок ведения документации по мониторингу сделок участниками сделок.</w:t>
      </w:r>
    </w:p>
    <w:p w14:paraId="7A679C97"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2. Мониторинг сделок осуществляется путем наблюдения органами государственных доходов Республики Казахстан за ценами, применяемыми участниками сделок и сбора от налогоплательщиков, подлежащих мониторингу в соответствии со </w:t>
      </w:r>
      <w:hyperlink r:id="rId5" w:anchor="z130" w:history="1">
        <w:r w:rsidRPr="000F66DA">
          <w:rPr>
            <w:rFonts w:ascii="Times New Roman" w:eastAsia="Times New Roman" w:hAnsi="Times New Roman" w:cs="Times New Roman"/>
            <w:color w:val="073A5E"/>
            <w:spacing w:val="2"/>
            <w:sz w:val="24"/>
            <w:szCs w:val="24"/>
            <w:u w:val="single"/>
            <w:lang w:eastAsia="ru-RU"/>
          </w:rPr>
          <w:t>статьей 130</w:t>
        </w:r>
      </w:hyperlink>
      <w:r w:rsidRPr="000F66DA">
        <w:rPr>
          <w:rFonts w:ascii="Times New Roman" w:eastAsia="Times New Roman" w:hAnsi="Times New Roman" w:cs="Times New Roman"/>
          <w:color w:val="000000"/>
          <w:spacing w:val="2"/>
          <w:sz w:val="24"/>
          <w:szCs w:val="24"/>
          <w:lang w:eastAsia="ru-RU"/>
        </w:rPr>
        <w:t> Кодекса Республики Казахстан "О налогах и других обязательных платежах в бюджет" (Налоговый кодекс), информацией по международным деловым операциям по товарам (работам, услугам) согласно </w:t>
      </w:r>
      <w:hyperlink r:id="rId6" w:anchor="z1" w:history="1">
        <w:r w:rsidRPr="000F66DA">
          <w:rPr>
            <w:rFonts w:ascii="Times New Roman" w:eastAsia="Times New Roman" w:hAnsi="Times New Roman" w:cs="Times New Roman"/>
            <w:color w:val="073A5E"/>
            <w:spacing w:val="2"/>
            <w:sz w:val="24"/>
            <w:szCs w:val="24"/>
            <w:u w:val="single"/>
            <w:lang w:eastAsia="ru-RU"/>
          </w:rPr>
          <w:t>приказу</w:t>
        </w:r>
      </w:hyperlink>
      <w:r w:rsidRPr="000F66DA">
        <w:rPr>
          <w:rFonts w:ascii="Times New Roman" w:eastAsia="Times New Roman" w:hAnsi="Times New Roman" w:cs="Times New Roman"/>
          <w:color w:val="000000"/>
          <w:spacing w:val="2"/>
          <w:sz w:val="24"/>
          <w:szCs w:val="24"/>
          <w:lang w:eastAsia="ru-RU"/>
        </w:rPr>
        <w:t> Министра финансов Республики Казахстан от 19 марта 2015 года №194 "Об утверждении Перечня товаров (работ, услуг), международные деловые операции по которым подлежат мониторингу сделок" (зарегистрирован в Реестре государственной регистрации нормативных правовых актов под №10680).</w:t>
      </w:r>
    </w:p>
    <w:p w14:paraId="3F0FE2C0" w14:textId="77777777" w:rsidR="000F66DA" w:rsidRPr="000F66DA" w:rsidRDefault="000F66DA" w:rsidP="000F66DA">
      <w:pPr>
        <w:shd w:val="clear" w:color="auto" w:fill="FFFFFF"/>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0F66DA">
        <w:rPr>
          <w:rFonts w:ascii="Times New Roman" w:eastAsia="Times New Roman" w:hAnsi="Times New Roman" w:cs="Times New Roman"/>
          <w:color w:val="1E1E1E"/>
          <w:sz w:val="24"/>
          <w:szCs w:val="24"/>
          <w:lang w:eastAsia="ru-RU"/>
        </w:rPr>
        <w:t>Глава 2. Порядок осуществления мониторинга сделок</w:t>
      </w:r>
    </w:p>
    <w:p w14:paraId="016B3053"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3. Участники сделок по товарам (работам, услугам), международные деловые операции по которым подлежат мониторингу сделок, представляют отчетность по мониторингу сделок "Экспорт товаров (работ, услуг)" по форме согласно </w:t>
      </w:r>
      <w:hyperlink r:id="rId7" w:anchor="z22" w:history="1">
        <w:r w:rsidRPr="000F66DA">
          <w:rPr>
            <w:rFonts w:ascii="Times New Roman" w:eastAsia="Times New Roman" w:hAnsi="Times New Roman" w:cs="Times New Roman"/>
            <w:color w:val="073A5E"/>
            <w:spacing w:val="2"/>
            <w:sz w:val="24"/>
            <w:szCs w:val="24"/>
            <w:u w:val="single"/>
            <w:lang w:eastAsia="ru-RU"/>
          </w:rPr>
          <w:t>приложению 1</w:t>
        </w:r>
      </w:hyperlink>
      <w:r w:rsidRPr="000F66DA">
        <w:rPr>
          <w:rFonts w:ascii="Times New Roman" w:eastAsia="Times New Roman" w:hAnsi="Times New Roman" w:cs="Times New Roman"/>
          <w:color w:val="000000"/>
          <w:spacing w:val="2"/>
          <w:sz w:val="24"/>
          <w:szCs w:val="24"/>
          <w:lang w:eastAsia="ru-RU"/>
        </w:rPr>
        <w:t> к настоящим Правилам и отчетность по мониторингу сделок "Импорт товаров (работ, услуг)" по форме согласно </w:t>
      </w:r>
      <w:hyperlink r:id="rId8" w:anchor="z23" w:history="1">
        <w:r w:rsidRPr="000F66DA">
          <w:rPr>
            <w:rFonts w:ascii="Times New Roman" w:eastAsia="Times New Roman" w:hAnsi="Times New Roman" w:cs="Times New Roman"/>
            <w:color w:val="073A5E"/>
            <w:spacing w:val="2"/>
            <w:sz w:val="24"/>
            <w:szCs w:val="24"/>
            <w:u w:val="single"/>
            <w:lang w:eastAsia="ru-RU"/>
          </w:rPr>
          <w:t>приложению 2 </w:t>
        </w:r>
      </w:hyperlink>
      <w:r w:rsidRPr="000F66DA">
        <w:rPr>
          <w:rFonts w:ascii="Times New Roman" w:eastAsia="Times New Roman" w:hAnsi="Times New Roman" w:cs="Times New Roman"/>
          <w:color w:val="000000"/>
          <w:spacing w:val="2"/>
          <w:sz w:val="24"/>
          <w:szCs w:val="24"/>
          <w:lang w:eastAsia="ru-RU"/>
        </w:rPr>
        <w:t>к настоящим Правилам (далее - формы отчетности по мониторингу сделок) в Комитет государственных доходов Министерства финансов Республики Казахстан (далее - Комитет государственных доходов) не позднее 15 мая года, следующего за отчетным, в соответствии с настоящими Правилами. Отчетным периодом является календарный год.</w:t>
      </w:r>
    </w:p>
    <w:p w14:paraId="08299ED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4. Заполненные формы отчетности по мониторингу сделок представляются в электронном виде, допускающем компьютерную обработку информации, - посредством системы приема и обработки налоговой отчетности органов государственных доходов.</w:t>
      </w:r>
    </w:p>
    <w:p w14:paraId="3FC085C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Формы отчетности по мониторингу сделок заверяются электронной цифровой подписью.</w:t>
      </w:r>
    </w:p>
    <w:p w14:paraId="57D86A6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xml:space="preserve">      Датой представления в электронном виде форм отчетности по мониторингу сделок в Комитет государственных доходов является дата принятия центральным узлом системы </w:t>
      </w:r>
      <w:r w:rsidRPr="000F66DA">
        <w:rPr>
          <w:rFonts w:ascii="Times New Roman" w:eastAsia="Times New Roman" w:hAnsi="Times New Roman" w:cs="Times New Roman"/>
          <w:color w:val="000000"/>
          <w:spacing w:val="2"/>
          <w:sz w:val="24"/>
          <w:szCs w:val="24"/>
          <w:lang w:eastAsia="ru-RU"/>
        </w:rPr>
        <w:lastRenderedPageBreak/>
        <w:t>приема и обработки налоговой отчетности органов государственных доходов, указанная в уведомлении.</w:t>
      </w:r>
    </w:p>
    <w:p w14:paraId="2476205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Формы отчетности по мониторингу сделок, представленные в Комитет государственных доходов посредством системы приема и обработки налоговой отчетности органов государственных доходов до двадцати четырех часов последнего дня срока, установленного настоящими Правилами для сдачи форм отчетности по мониторингу сделок, считаются представленными в срок.</w:t>
      </w:r>
    </w:p>
    <w:p w14:paraId="62C3BBA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При представлении форм отчетности по мониторингу сделок в электронном виде Комитет государственных доходов, не позднее двух рабочих дней со дня принятия системой приема и обработки налоговой отчетности органов государственных доходов, направляет участнику сделки электронное уведомление о принятии или непринятии форм отчетности по мониторингу сделок указанной системой.</w:t>
      </w:r>
    </w:p>
    <w:p w14:paraId="0A025D18"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Формы отчетности по мониторингу сделок считаются не представленными в Комитет государственных доходов, если:</w:t>
      </w:r>
    </w:p>
    <w:p w14:paraId="17BA256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 не соответствуют формам, установленным настоящими Правилами;</w:t>
      </w:r>
    </w:p>
    <w:p w14:paraId="5B38D4E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2) не указан или неверно указан код органа государственных доходов;</w:t>
      </w:r>
    </w:p>
    <w:p w14:paraId="2E4C7384"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3) не указан или неверно указан идентификационный </w:t>
      </w:r>
      <w:hyperlink r:id="rId9" w:anchor="z42" w:history="1">
        <w:r w:rsidRPr="000F66DA">
          <w:rPr>
            <w:rFonts w:ascii="Times New Roman" w:eastAsia="Times New Roman" w:hAnsi="Times New Roman" w:cs="Times New Roman"/>
            <w:color w:val="073A5E"/>
            <w:spacing w:val="2"/>
            <w:sz w:val="24"/>
            <w:szCs w:val="24"/>
            <w:u w:val="single"/>
            <w:lang w:eastAsia="ru-RU"/>
          </w:rPr>
          <w:t>номер</w:t>
        </w:r>
      </w:hyperlink>
      <w:r w:rsidRPr="000F66DA">
        <w:rPr>
          <w:rFonts w:ascii="Times New Roman" w:eastAsia="Times New Roman" w:hAnsi="Times New Roman" w:cs="Times New Roman"/>
          <w:color w:val="000000"/>
          <w:spacing w:val="2"/>
          <w:sz w:val="24"/>
          <w:szCs w:val="24"/>
          <w:lang w:eastAsia="ru-RU"/>
        </w:rPr>
        <w:t>;</w:t>
      </w:r>
    </w:p>
    <w:p w14:paraId="45F86160"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4) не указан налоговый период;</w:t>
      </w:r>
    </w:p>
    <w:p w14:paraId="64BC7238"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5) отсутствует или недостоверна электронная цифровая подпись;</w:t>
      </w:r>
    </w:p>
    <w:p w14:paraId="2C76C016"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6) нарушены требования части пятьдесят первой </w:t>
      </w:r>
      <w:hyperlink r:id="rId10" w:anchor="z18" w:history="1">
        <w:r w:rsidRPr="000F66DA">
          <w:rPr>
            <w:rFonts w:ascii="Times New Roman" w:eastAsia="Times New Roman" w:hAnsi="Times New Roman" w:cs="Times New Roman"/>
            <w:color w:val="073A5E"/>
            <w:spacing w:val="2"/>
            <w:sz w:val="24"/>
            <w:szCs w:val="24"/>
            <w:u w:val="single"/>
            <w:lang w:eastAsia="ru-RU"/>
          </w:rPr>
          <w:t>пунктов 10</w:t>
        </w:r>
      </w:hyperlink>
      <w:r w:rsidRPr="000F66DA">
        <w:rPr>
          <w:rFonts w:ascii="Times New Roman" w:eastAsia="Times New Roman" w:hAnsi="Times New Roman" w:cs="Times New Roman"/>
          <w:color w:val="000000"/>
          <w:spacing w:val="2"/>
          <w:sz w:val="24"/>
          <w:szCs w:val="24"/>
          <w:lang w:eastAsia="ru-RU"/>
        </w:rPr>
        <w:t> и </w:t>
      </w:r>
      <w:hyperlink r:id="rId11" w:anchor="z20" w:history="1">
        <w:r w:rsidRPr="000F66DA">
          <w:rPr>
            <w:rFonts w:ascii="Times New Roman" w:eastAsia="Times New Roman" w:hAnsi="Times New Roman" w:cs="Times New Roman"/>
            <w:color w:val="073A5E"/>
            <w:spacing w:val="2"/>
            <w:sz w:val="24"/>
            <w:szCs w:val="24"/>
            <w:u w:val="single"/>
            <w:lang w:eastAsia="ru-RU"/>
          </w:rPr>
          <w:t>11</w:t>
        </w:r>
      </w:hyperlink>
      <w:r w:rsidRPr="000F66DA">
        <w:rPr>
          <w:rFonts w:ascii="Times New Roman" w:eastAsia="Times New Roman" w:hAnsi="Times New Roman" w:cs="Times New Roman"/>
          <w:color w:val="000000"/>
          <w:spacing w:val="2"/>
          <w:sz w:val="24"/>
          <w:szCs w:val="24"/>
          <w:lang w:eastAsia="ru-RU"/>
        </w:rPr>
        <w:t>настоящих Правил;</w:t>
      </w:r>
    </w:p>
    <w:p w14:paraId="62B3DB7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7) нарушена структура электронного формата форм отчетности по мониторингу сделок.</w:t>
      </w:r>
    </w:p>
    <w:p w14:paraId="28F83FE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случае обнаружения технических ошибок в программном обеспечении органов государственных доходов, которые влияют на своевременность представления форм отчетности по мониторингу сделок в электронном виде, Комитет государственных доходов продлевает срок представления форм отчетности по мониторингу сделок на период не более шести месяцев со срока, установленного для представления таких форм отчетности.</w:t>
      </w:r>
    </w:p>
    <w:p w14:paraId="56B82D33"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5. При отсутствии в отчетном периоде международных деловых операций у участников сделок, определенных в </w:t>
      </w:r>
      <w:hyperlink r:id="rId12" w:anchor="z8" w:history="1">
        <w:r w:rsidRPr="000F66DA">
          <w:rPr>
            <w:rFonts w:ascii="Times New Roman" w:eastAsia="Times New Roman" w:hAnsi="Times New Roman" w:cs="Times New Roman"/>
            <w:color w:val="073A5E"/>
            <w:spacing w:val="2"/>
            <w:sz w:val="24"/>
            <w:szCs w:val="24"/>
            <w:u w:val="single"/>
            <w:lang w:eastAsia="ru-RU"/>
          </w:rPr>
          <w:t>пункте 2</w:t>
        </w:r>
      </w:hyperlink>
      <w:r w:rsidRPr="000F66DA">
        <w:rPr>
          <w:rFonts w:ascii="Times New Roman" w:eastAsia="Times New Roman" w:hAnsi="Times New Roman" w:cs="Times New Roman"/>
          <w:color w:val="000000"/>
          <w:spacing w:val="2"/>
          <w:sz w:val="24"/>
          <w:szCs w:val="24"/>
          <w:lang w:eastAsia="ru-RU"/>
        </w:rPr>
        <w:t> настоящих Правил, формы отчетности по мониторингу сделок такими участниками сделок в Комитет государственных доходов не представляются.</w:t>
      </w:r>
    </w:p>
    <w:p w14:paraId="72AAE4C7"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6. В случае если последний день срока предоставления форм отчетности по мониторингу сделок приходится на нерабочий день, сроком предоставления является следующий рабочий день.</w:t>
      </w:r>
    </w:p>
    <w:p w14:paraId="21178BAC"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7. Органы государственных доходов осуществляют мониторинг сделок международных деловых операций по товарам (работам, услугам) в соответствии со </w:t>
      </w:r>
      <w:hyperlink r:id="rId13" w:anchor="z69" w:history="1">
        <w:r w:rsidRPr="000F66DA">
          <w:rPr>
            <w:rFonts w:ascii="Times New Roman" w:eastAsia="Times New Roman" w:hAnsi="Times New Roman" w:cs="Times New Roman"/>
            <w:color w:val="073A5E"/>
            <w:spacing w:val="2"/>
            <w:sz w:val="24"/>
            <w:szCs w:val="24"/>
            <w:u w:val="single"/>
            <w:lang w:eastAsia="ru-RU"/>
          </w:rPr>
          <w:t>статьей 6</w:t>
        </w:r>
      </w:hyperlink>
      <w:r w:rsidRPr="000F66DA">
        <w:rPr>
          <w:rFonts w:ascii="Times New Roman" w:eastAsia="Times New Roman" w:hAnsi="Times New Roman" w:cs="Times New Roman"/>
          <w:color w:val="000000"/>
          <w:spacing w:val="2"/>
          <w:sz w:val="24"/>
          <w:szCs w:val="24"/>
          <w:lang w:eastAsia="ru-RU"/>
        </w:rPr>
        <w:t> Закона.</w:t>
      </w:r>
    </w:p>
    <w:p w14:paraId="1F56162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8. Внесение изменений и (или) дополнений в формы отчетности по мониторингу сделок производится путем представления дополнительных форм отчетности по мониторингу сделок за налоговый период, к которому относятся данные изменения и дополнения.</w:t>
      </w:r>
    </w:p>
    <w:p w14:paraId="449DD49A"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Представление и обработка дополнительных форм отчетности по мониторингу сделок производится в порядке, установленном </w:t>
      </w:r>
      <w:hyperlink r:id="rId14" w:anchor="z11" w:history="1">
        <w:r w:rsidRPr="000F66DA">
          <w:rPr>
            <w:rFonts w:ascii="Times New Roman" w:eastAsia="Times New Roman" w:hAnsi="Times New Roman" w:cs="Times New Roman"/>
            <w:color w:val="073A5E"/>
            <w:spacing w:val="2"/>
            <w:sz w:val="24"/>
            <w:szCs w:val="24"/>
            <w:u w:val="single"/>
            <w:lang w:eastAsia="ru-RU"/>
          </w:rPr>
          <w:t>пунктом 4</w:t>
        </w:r>
      </w:hyperlink>
      <w:r w:rsidRPr="000F66DA">
        <w:rPr>
          <w:rFonts w:ascii="Times New Roman" w:eastAsia="Times New Roman" w:hAnsi="Times New Roman" w:cs="Times New Roman"/>
          <w:color w:val="000000"/>
          <w:spacing w:val="2"/>
          <w:sz w:val="24"/>
          <w:szCs w:val="24"/>
          <w:lang w:eastAsia="ru-RU"/>
        </w:rPr>
        <w:t> настоящих Правил.</w:t>
      </w:r>
    </w:p>
    <w:p w14:paraId="75F1F561"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При составлении дополнительных форм отчетности по мониторингу сделок в графах, в случае изменения данных указываются новые значения, в графах, данные по которым не меняются, указываются прежние значения, отраженные в ранее представленных формах отчетности по мониторингу сделок.</w:t>
      </w:r>
    </w:p>
    <w:p w14:paraId="5E5F777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Участники сделок вносят изменения и (или) дополнения в представленные формы отчетности по мониторингу сделок до начала проведения проверки по вопросам трансфертного ценообразования.</w:t>
      </w:r>
    </w:p>
    <w:p w14:paraId="0F77A398" w14:textId="77777777" w:rsidR="000F66DA" w:rsidRPr="000F66DA" w:rsidRDefault="000F66DA" w:rsidP="000F66DA">
      <w:pPr>
        <w:shd w:val="clear" w:color="auto" w:fill="FFFFFF"/>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0F66DA">
        <w:rPr>
          <w:rFonts w:ascii="Times New Roman" w:eastAsia="Times New Roman" w:hAnsi="Times New Roman" w:cs="Times New Roman"/>
          <w:color w:val="1E1E1E"/>
          <w:sz w:val="24"/>
          <w:szCs w:val="24"/>
          <w:lang w:eastAsia="ru-RU"/>
        </w:rPr>
        <w:t>Глава 3. Порядок заполнения форм отчетности по мониторингу сделок</w:t>
      </w:r>
    </w:p>
    <w:p w14:paraId="5377C84A"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9. Формы отчетности по мониторингу сделок "Экспорт товаров (работ, услуг)" заполняется по мере отгрузки товара, выполнения работ, предоставления услуг, связанных с реализацией на экспорт независимо от времени оплаты.</w:t>
      </w:r>
    </w:p>
    <w:p w14:paraId="354B941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 "№" указывается номер по порядку. Последующая информация не должна превышать нумерацию по порядку.</w:t>
      </w:r>
    </w:p>
    <w:p w14:paraId="2F7C8AE6"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 "ИИН" указывается индивидуальный идентификационный </w:t>
      </w:r>
      <w:hyperlink r:id="rId15" w:anchor="z42" w:history="1">
        <w:r w:rsidRPr="000F66DA">
          <w:rPr>
            <w:rFonts w:ascii="Times New Roman" w:eastAsia="Times New Roman" w:hAnsi="Times New Roman" w:cs="Times New Roman"/>
            <w:color w:val="073A5E"/>
            <w:spacing w:val="2"/>
            <w:sz w:val="24"/>
            <w:szCs w:val="24"/>
            <w:u w:val="single"/>
            <w:lang w:eastAsia="ru-RU"/>
          </w:rPr>
          <w:t>номер</w:t>
        </w:r>
      </w:hyperlink>
      <w:r w:rsidRPr="000F66DA">
        <w:rPr>
          <w:rFonts w:ascii="Times New Roman" w:eastAsia="Times New Roman" w:hAnsi="Times New Roman" w:cs="Times New Roman"/>
          <w:color w:val="000000"/>
          <w:spacing w:val="2"/>
          <w:sz w:val="24"/>
          <w:szCs w:val="24"/>
          <w:lang w:eastAsia="ru-RU"/>
        </w:rPr>
        <w:t> участника сделки - отправителя.</w:t>
      </w:r>
    </w:p>
    <w:p w14:paraId="57E965E8"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 "БИН" указывается бизнес-идентификационный </w:t>
      </w:r>
      <w:hyperlink r:id="rId16" w:anchor="z43" w:history="1">
        <w:r w:rsidRPr="000F66DA">
          <w:rPr>
            <w:rFonts w:ascii="Times New Roman" w:eastAsia="Times New Roman" w:hAnsi="Times New Roman" w:cs="Times New Roman"/>
            <w:color w:val="073A5E"/>
            <w:spacing w:val="2"/>
            <w:sz w:val="24"/>
            <w:szCs w:val="24"/>
            <w:u w:val="single"/>
            <w:lang w:eastAsia="ru-RU"/>
          </w:rPr>
          <w:t>номер</w:t>
        </w:r>
      </w:hyperlink>
      <w:r w:rsidRPr="000F66DA">
        <w:rPr>
          <w:rFonts w:ascii="Times New Roman" w:eastAsia="Times New Roman" w:hAnsi="Times New Roman" w:cs="Times New Roman"/>
          <w:color w:val="000000"/>
          <w:spacing w:val="2"/>
          <w:sz w:val="24"/>
          <w:szCs w:val="24"/>
          <w:lang w:eastAsia="ru-RU"/>
        </w:rPr>
        <w:t> участника сделки - отправителя.</w:t>
      </w:r>
    </w:p>
    <w:p w14:paraId="2FF752A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 "Наименование отправителя (экспортера)" указывается полное наименование юридического лица (отправителя) с указанием его организационно-правовой формы.</w:t>
      </w:r>
    </w:p>
    <w:p w14:paraId="3E2A43D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5 "Налоговый период" указывается период, за который сдается отчетность по мониторингу сделок.</w:t>
      </w:r>
    </w:p>
    <w:p w14:paraId="767A001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6 и 7 "Дата декларации на товары (Заявления)" и "№ декларации на товары (Заявления)" указываются дата и номер декларации на товары или дата и номер Заявления о ввозе товаров и уплате косвенных налогов (далее – Заявление). При этом дата и номер Заявления указываются в случаях внешнеэкономической деятельности с государствами-членами Евразийского экономического союза.</w:t>
      </w:r>
    </w:p>
    <w:p w14:paraId="4161B8B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8 "Код ТН ВЭД ЕАЭС" указывается код Товарной номенклатуры внешнеэкономической деятельности Евразийского экономического союза.</w:t>
      </w:r>
    </w:p>
    <w:p w14:paraId="5CF8EA6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В графе 9 "Наименование товара (работы, услуги)" отражается наименование экспортируемых товаров (работ, услуг).</w:t>
      </w:r>
    </w:p>
    <w:p w14:paraId="5446212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10 "Качественные характеристики товара (работы, услуги)" указываются качество товара (работы, услуги) в случае наличия такого условия.</w:t>
      </w:r>
    </w:p>
    <w:p w14:paraId="2173A36D"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Качество товара (работы, услуги) представляет собой совокупность свойств, характеристик, указанных в </w:t>
      </w:r>
      <w:hyperlink r:id="rId17" w:anchor="z8" w:history="1">
        <w:r w:rsidRPr="000F66DA">
          <w:rPr>
            <w:rFonts w:ascii="Times New Roman" w:eastAsia="Times New Roman" w:hAnsi="Times New Roman" w:cs="Times New Roman"/>
            <w:color w:val="073A5E"/>
            <w:spacing w:val="2"/>
            <w:sz w:val="24"/>
            <w:szCs w:val="24"/>
            <w:u w:val="single"/>
            <w:lang w:eastAsia="ru-RU"/>
          </w:rPr>
          <w:t>сертификате</w:t>
        </w:r>
      </w:hyperlink>
      <w:r w:rsidRPr="000F66DA">
        <w:rPr>
          <w:rFonts w:ascii="Times New Roman" w:eastAsia="Times New Roman" w:hAnsi="Times New Roman" w:cs="Times New Roman"/>
          <w:color w:val="000000"/>
          <w:spacing w:val="2"/>
          <w:sz w:val="24"/>
          <w:szCs w:val="24"/>
          <w:lang w:eastAsia="ru-RU"/>
        </w:rPr>
        <w:t> качества (соответствия) товара (работы, услуги) и, обуславливающих их пригодность удовлетворять определенные потребности в соответствии с их назначением. Свойство - объективная особенность товара (работы, услуги), проявляющаяся при ее создании, оценке, хранении и потреблении (эксплуатации). Показатель качества - количественное и качественное выражение свойств товара (работы, услуги). Показатели качества являются физическими или нефизическими величинами. Физические величины (длина, масса, плотность и другие) могут измеряться количественно и качественно. Наименование показателя служит качественной характеристикой товара (например, массовая доля сахара в соке, длина хлопкового волокна). Единичные показатели - показатели, предназначенные для выражения простых свойств товара. К ним относятся цвет, форма, целостность, кислотность и другие.</w:t>
      </w:r>
    </w:p>
    <w:p w14:paraId="6C514B8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11 "Репутация на рынке товаров (работ, услуг)" указывается информация о репутации на рынке, представляющей собой устойчивое мнение о достоинствах и недостатках организации в деловом мире (в определенном сегменте рынка). Информация о репутации на рынке товаров (работ, услуг) складывается из таких показателей, как качество товара (работы, услуги), устойчивость финансового положения, доля рынка, доступность информации о компании, ее публичность и известность.</w:t>
      </w:r>
    </w:p>
    <w:p w14:paraId="05CBB6C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12 "Страна отправления товара, выполнения работы, оказания услуги" указывается страна, из которой экспортируется товар, выполняются работы, оказываются услуги.</w:t>
      </w:r>
    </w:p>
    <w:p w14:paraId="73302C2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13 "Вид транспортировки" указываются виды транспортов (железнодорожный, воздушный и другие), используемых для экспорта товара.</w:t>
      </w:r>
    </w:p>
    <w:p w14:paraId="1A1A22D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14 "Страна происхождения товара (работы, услуги)" указывается страна, в которой произведен товар (работа, услуга), в случае наличия таких данных.</w:t>
      </w:r>
    </w:p>
    <w:p w14:paraId="77B864B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15 "Производитель товара (работы, услуги)" указывается производитель товара (работы, услуги) в случае наличия таких данных.</w:t>
      </w:r>
    </w:p>
    <w:p w14:paraId="77FC473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16 "Наличие товарного знака (торговой марки, бренда)" указывается наличие товарного знака (торговой марки, бренда) в случае наличия таких данных.</w:t>
      </w:r>
    </w:p>
    <w:p w14:paraId="24453D0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17 "Условия поставки товара" указываются условия поставки товара согласно Инкотермс.</w:t>
      </w:r>
    </w:p>
    <w:p w14:paraId="0F43485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18 и 19 "Дата и место отгрузки товара (работы, услуги)" указывается дата и место отгрузки товара (работы, услуги).</w:t>
      </w:r>
    </w:p>
    <w:p w14:paraId="233A91F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В графе 20 "Страна назначения товара (работы, услуги)" указывается страна назначения товара (работы, услуги).</w:t>
      </w:r>
    </w:p>
    <w:p w14:paraId="18FF57BA"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21 "Пункт доставки товара (работы, услуги)" указывается пункт доставки товара (работы, услуги).</w:t>
      </w:r>
    </w:p>
    <w:p w14:paraId="16D5329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22 и 23 "Наименование покупателя" и "Юридический адрес покупателя" указывается фамилия, имя, отчество (при его наличии) физического лица или наименование юридического лица-получателя товара (работы, услуги) и юридический адрес покупателя.</w:t>
      </w:r>
    </w:p>
    <w:p w14:paraId="0C03AC2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24 "Страна регистрации покупателя" указывается страна регистрации покупателя.</w:t>
      </w:r>
    </w:p>
    <w:p w14:paraId="03EFCBA1"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25 "Торгующая страна" проставляется цифровой код торгующей страны товара (работы, услуги) в соответствии с Классификатором стран мира, утвержденным </w:t>
      </w:r>
      <w:hyperlink r:id="rId18" w:anchor="z0" w:history="1">
        <w:r w:rsidRPr="000F66DA">
          <w:rPr>
            <w:rFonts w:ascii="Times New Roman" w:eastAsia="Times New Roman" w:hAnsi="Times New Roman" w:cs="Times New Roman"/>
            <w:color w:val="073A5E"/>
            <w:spacing w:val="2"/>
            <w:sz w:val="24"/>
            <w:szCs w:val="24"/>
            <w:u w:val="single"/>
            <w:lang w:eastAsia="ru-RU"/>
          </w:rPr>
          <w:t>Решением</w:t>
        </w:r>
      </w:hyperlink>
      <w:r w:rsidRPr="000F66DA">
        <w:rPr>
          <w:rFonts w:ascii="Times New Roman" w:eastAsia="Times New Roman" w:hAnsi="Times New Roman" w:cs="Times New Roman"/>
          <w:color w:val="000000"/>
          <w:spacing w:val="2"/>
          <w:sz w:val="24"/>
          <w:szCs w:val="24"/>
          <w:lang w:eastAsia="ru-RU"/>
        </w:rPr>
        <w:t> Комиссии Таможенного союза от 20 сентября 2010 года № 378 "О классификаторах, используемых для заполнения таможенных деклараций".</w:t>
      </w:r>
    </w:p>
    <w:p w14:paraId="21639E3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Под торгующей страной понимается страна, где зарегистрировано или постоянно проживает лицо, с которым участник сделки заключил контракт (договор), в соответствии с которым товары перемещаются через таможенную границу Республики Казахстан.</w:t>
      </w:r>
    </w:p>
    <w:p w14:paraId="05B90C0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26 "Информация о взаимосвязанности сторон (продавца и покупателя)" указывается информация о взаимосвязанности сторон (продавца и покупателя) в случае наличия таких данных.</w:t>
      </w:r>
    </w:p>
    <w:p w14:paraId="270E576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27 и 28 "Дата и № контракта (договора)" указываются дата и номер контракта (договора).</w:t>
      </w:r>
    </w:p>
    <w:p w14:paraId="6C3C10D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29 "Дата и № счета-фактуры" указываются дата и № счета-фактуры.</w:t>
      </w:r>
    </w:p>
    <w:p w14:paraId="575EDCB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xml:space="preserve">      В графе 30 "Единица измерения" указываются единица измерения товара (штуки, килограммы, тонны, метры, кубометры, литры, </w:t>
      </w:r>
      <w:proofErr w:type="spellStart"/>
      <w:r w:rsidRPr="000F66DA">
        <w:rPr>
          <w:rFonts w:ascii="Times New Roman" w:eastAsia="Times New Roman" w:hAnsi="Times New Roman" w:cs="Times New Roman"/>
          <w:color w:val="000000"/>
          <w:spacing w:val="2"/>
          <w:sz w:val="24"/>
          <w:szCs w:val="24"/>
          <w:lang w:eastAsia="ru-RU"/>
        </w:rPr>
        <w:t>кВТ</w:t>
      </w:r>
      <w:proofErr w:type="spellEnd"/>
      <w:r w:rsidRPr="000F66DA">
        <w:rPr>
          <w:rFonts w:ascii="Times New Roman" w:eastAsia="Times New Roman" w:hAnsi="Times New Roman" w:cs="Times New Roman"/>
          <w:color w:val="000000"/>
          <w:spacing w:val="2"/>
          <w:sz w:val="24"/>
          <w:szCs w:val="24"/>
          <w:lang w:eastAsia="ru-RU"/>
        </w:rPr>
        <w:t xml:space="preserve"> и другие единицы измерения, применяемые в Республике Казахстан).</w:t>
      </w:r>
    </w:p>
    <w:p w14:paraId="6D459BB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31 "Объем реализации товара" указывается объем фактически произведенного экспорта товара в единицах измерения, указанных в графе 30.</w:t>
      </w:r>
    </w:p>
    <w:p w14:paraId="22738968"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32 "Стоимость (в валюте контракта (договора)" указывается цена сделки в валюте контракта (договора).</w:t>
      </w:r>
    </w:p>
    <w:p w14:paraId="456B310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33 "Цена сделки (в валюте контракта (договора))" указывается цена сделки в валюте контракта (договора).</w:t>
      </w:r>
    </w:p>
    <w:p w14:paraId="3C448FA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В графе 34 "Валюта контракта (договора)" указывается валюта, в которой осуществлялась оплата экспортируемого товара (работы, услуги) по контракту (договору).</w:t>
      </w:r>
    </w:p>
    <w:p w14:paraId="2D4765F7"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35 "Курс тенге" указывается рыночный курс тенге к валюте контракта (договора) на дату признания дохода.</w:t>
      </w:r>
    </w:p>
    <w:p w14:paraId="271F70FA"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36 "Методология трансфертного ценообразования" указывается совокупность принципов установления цены сделки, обосновывающих уровень динамики этой цены.</w:t>
      </w:r>
    </w:p>
    <w:p w14:paraId="7C3DDBC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37 "Факторы, влияющие на установление цены сделки" указываются факторы, оказывающие влияние на установление цены сделки.</w:t>
      </w:r>
    </w:p>
    <w:p w14:paraId="6C25E4B1"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38 "Метод, применяемый для определения рыночной цены" указывается один из методов, определенных </w:t>
      </w:r>
      <w:hyperlink r:id="rId19" w:anchor="z136" w:history="1">
        <w:r w:rsidRPr="000F66DA">
          <w:rPr>
            <w:rFonts w:ascii="Times New Roman" w:eastAsia="Times New Roman" w:hAnsi="Times New Roman" w:cs="Times New Roman"/>
            <w:color w:val="073A5E"/>
            <w:spacing w:val="2"/>
            <w:sz w:val="24"/>
            <w:szCs w:val="24"/>
            <w:u w:val="single"/>
            <w:lang w:eastAsia="ru-RU"/>
          </w:rPr>
          <w:t>статьей 12</w:t>
        </w:r>
      </w:hyperlink>
      <w:r w:rsidRPr="000F66DA">
        <w:rPr>
          <w:rFonts w:ascii="Times New Roman" w:eastAsia="Times New Roman" w:hAnsi="Times New Roman" w:cs="Times New Roman"/>
          <w:color w:val="000000"/>
          <w:spacing w:val="2"/>
          <w:sz w:val="24"/>
          <w:szCs w:val="24"/>
          <w:lang w:eastAsia="ru-RU"/>
        </w:rPr>
        <w:t> Закона и применяемых участником сделки для определения рыночной цены.</w:t>
      </w:r>
    </w:p>
    <w:p w14:paraId="04C3548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39 "Источник информации" указывается источник информации, применяемый для определения рыночной цены товара (работы, услуги).</w:t>
      </w:r>
    </w:p>
    <w:p w14:paraId="548DE2F5"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40 "Дифференциал" указываются сведения, подтвержденные документально и (или) источниками информации, предусмотренными </w:t>
      </w:r>
      <w:hyperlink r:id="rId20" w:anchor="z180" w:history="1">
        <w:r w:rsidRPr="000F66DA">
          <w:rPr>
            <w:rFonts w:ascii="Times New Roman" w:eastAsia="Times New Roman" w:hAnsi="Times New Roman" w:cs="Times New Roman"/>
            <w:color w:val="073A5E"/>
            <w:spacing w:val="2"/>
            <w:sz w:val="24"/>
            <w:szCs w:val="24"/>
            <w:u w:val="single"/>
            <w:lang w:eastAsia="ru-RU"/>
          </w:rPr>
          <w:t>статьей 18</w:t>
        </w:r>
      </w:hyperlink>
      <w:r w:rsidRPr="000F66DA">
        <w:rPr>
          <w:rFonts w:ascii="Times New Roman" w:eastAsia="Times New Roman" w:hAnsi="Times New Roman" w:cs="Times New Roman"/>
          <w:color w:val="000000"/>
          <w:spacing w:val="2"/>
          <w:sz w:val="24"/>
          <w:szCs w:val="24"/>
          <w:lang w:eastAsia="ru-RU"/>
        </w:rPr>
        <w:t> Закона.</w:t>
      </w:r>
    </w:p>
    <w:p w14:paraId="6248A1C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41 "Рыночная цена товара (работы, услуги)" указывается рыночная цена товара (работы, услуги).</w:t>
      </w:r>
    </w:p>
    <w:p w14:paraId="177321C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42 "Описание предпринимательской деятельности участника сделки (экспортера), отрасли деятельности и условий рынка" указывается описание деятельности участника сделки по производству и (или) реализации товаров, выполнению работ или оказанию услуг, в том числе коммерческое посредничество, торгово-закупочная, инновационная, консультационная деятельность, операции с ценными бумагами.</w:t>
      </w:r>
    </w:p>
    <w:p w14:paraId="36E41BB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43 "Стратегия бизнеса" указываются сведения, относящиеся к стратегии бизнеса участника сделки, представляющей собой процессы использования имеющегося потенциала для производства продукции, выполнения работ, оказания услуг включает в себя цели фирмы, политику и планы реализации поставленных целей, определяет сферу бизнеса, в которой сосредоточена основная деятельность компании, а также природу экономических и внешнеэкономических достижений.</w:t>
      </w:r>
    </w:p>
    <w:p w14:paraId="68076948"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44 "Другая информация, обосновывающая правильность применения цены сделки товара (работы, услуги)" указывается информация, которую, по мнению участника сделки необходимо отразить в целях предоставления обоснования по применяемым ценам.</w:t>
      </w:r>
    </w:p>
    <w:p w14:paraId="7F5EE56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45 "Другая информация, влияющая на величину отклонения цены сделки товара (работы, услуги) от рыночной цены" указывается информация, которая, по мнению участника сделки, оказывает влияние на величину отклонения цены сделки товара (работы, услуги) от рыночной цены.</w:t>
      </w:r>
    </w:p>
    <w:p w14:paraId="76931F4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В графе 46 "Прогноз цен на товары (работы, услуги) на экспортных рынках" указывается прогноз цен на экспортируемые товары (работы, услуги) участником сделки.</w:t>
      </w:r>
    </w:p>
    <w:p w14:paraId="052464B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47 "Стратегия ведения деловых операций" указываются сведения, относящиеся к стратегии ведения деловых операций.</w:t>
      </w:r>
    </w:p>
    <w:p w14:paraId="6038FD5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48 "Отчеты по международным стандартам бухгалтерского учета, в том числе финансовая отчетность" указывается информация, представляющая единую систему данных о финансовом положении организации, финансовых результатах ее деятельности и изменениях в ее финансовом положении.</w:t>
      </w:r>
    </w:p>
    <w:p w14:paraId="055D227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49 "Функциональный анализ, анализ рисков, материальных и нематериальных активов" указываются сведения о сфере деятельности компании, ее обязанностей, рисков и активов, для того, чтобы определить как обязанности, риски и активы распределены между компаниями, которые участвуют в операции.</w:t>
      </w:r>
    </w:p>
    <w:p w14:paraId="610114B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50 "Маржа, комиссионное (агентское) вознаграждение торгового брокера, трейдера или агента либо компенсации за выполнение ими торгово-посреднических функций" указывается маржа, комиссионное (агентское) вознаграждение торгового брокера, трейдера или агента либо компенсации за выполнение ими торгово-посреднических функций.</w:t>
      </w:r>
    </w:p>
    <w:p w14:paraId="01847B4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xml:space="preserve">      В графе 51 "Котировальный период" указывается период ценообразования, но не более тридцати одного календарного последовательного дня, за которые опубликованы котировки цен на бирже, установленный в контракте на реализацию товара (работы, услуги), в течение которого в соответствии с условиями сделки сторонами сделки определяется среднеарифметическое значение среднеарифметических ежедневных котировок цен на соответствующие биржевые товары (работы, услуги), а также </w:t>
      </w:r>
      <w:proofErr w:type="spellStart"/>
      <w:r w:rsidRPr="000F66DA">
        <w:rPr>
          <w:rFonts w:ascii="Times New Roman" w:eastAsia="Times New Roman" w:hAnsi="Times New Roman" w:cs="Times New Roman"/>
          <w:color w:val="000000"/>
          <w:spacing w:val="2"/>
          <w:sz w:val="24"/>
          <w:szCs w:val="24"/>
          <w:lang w:eastAsia="ru-RU"/>
        </w:rPr>
        <w:t>небиржевые</w:t>
      </w:r>
      <w:proofErr w:type="spellEnd"/>
      <w:r w:rsidRPr="000F66DA">
        <w:rPr>
          <w:rFonts w:ascii="Times New Roman" w:eastAsia="Times New Roman" w:hAnsi="Times New Roman" w:cs="Times New Roman"/>
          <w:color w:val="000000"/>
          <w:spacing w:val="2"/>
          <w:sz w:val="24"/>
          <w:szCs w:val="24"/>
          <w:lang w:eastAsia="ru-RU"/>
        </w:rPr>
        <w:t xml:space="preserve"> товары, цены на которые привязаны к котировкам на биржевые товары.</w:t>
      </w:r>
    </w:p>
    <w:p w14:paraId="5279777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52 "Цена из источника информации" указывается цена, полученная из официально признанных источников информации, данных о биржевых котировках, от уполномоченных органов, а также из других источников информации.</w:t>
      </w:r>
    </w:p>
    <w:p w14:paraId="2C7F11E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10. Формы отчетности по мониторингу сделок "Импорт товаров (работ, услуг)" заполняется по мере приобретения товара, выполнения работ, предоставления услуг, связанных с импортом товаров (работ, услуг) независимо от времени оплаты.</w:t>
      </w:r>
    </w:p>
    <w:p w14:paraId="21DEECB1"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 "№" указывается номер по порядку. Последующая информация не должна превышать нумерацию по порядку.</w:t>
      </w:r>
    </w:p>
    <w:p w14:paraId="002AFC00"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 "ИИН" указывается индивидуальный идентификационный </w:t>
      </w:r>
      <w:hyperlink r:id="rId21" w:anchor="z42" w:history="1">
        <w:r w:rsidRPr="000F66DA">
          <w:rPr>
            <w:rFonts w:ascii="Times New Roman" w:eastAsia="Times New Roman" w:hAnsi="Times New Roman" w:cs="Times New Roman"/>
            <w:color w:val="073A5E"/>
            <w:spacing w:val="2"/>
            <w:sz w:val="24"/>
            <w:szCs w:val="24"/>
            <w:u w:val="single"/>
            <w:lang w:eastAsia="ru-RU"/>
          </w:rPr>
          <w:t>номер</w:t>
        </w:r>
      </w:hyperlink>
      <w:r w:rsidRPr="000F66DA">
        <w:rPr>
          <w:rFonts w:ascii="Times New Roman" w:eastAsia="Times New Roman" w:hAnsi="Times New Roman" w:cs="Times New Roman"/>
          <w:color w:val="000000"/>
          <w:spacing w:val="2"/>
          <w:sz w:val="24"/>
          <w:szCs w:val="24"/>
          <w:lang w:eastAsia="ru-RU"/>
        </w:rPr>
        <w:t> участника сделки - получателя.</w:t>
      </w:r>
    </w:p>
    <w:p w14:paraId="0C123A3C"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 "БИН" указывается бизнес-идентификационный </w:t>
      </w:r>
      <w:hyperlink r:id="rId22" w:anchor="z43" w:history="1">
        <w:r w:rsidRPr="000F66DA">
          <w:rPr>
            <w:rFonts w:ascii="Times New Roman" w:eastAsia="Times New Roman" w:hAnsi="Times New Roman" w:cs="Times New Roman"/>
            <w:color w:val="073A5E"/>
            <w:spacing w:val="2"/>
            <w:sz w:val="24"/>
            <w:szCs w:val="24"/>
            <w:u w:val="single"/>
            <w:lang w:eastAsia="ru-RU"/>
          </w:rPr>
          <w:t>номер</w:t>
        </w:r>
      </w:hyperlink>
      <w:r w:rsidRPr="000F66DA">
        <w:rPr>
          <w:rFonts w:ascii="Times New Roman" w:eastAsia="Times New Roman" w:hAnsi="Times New Roman" w:cs="Times New Roman"/>
          <w:color w:val="000000"/>
          <w:spacing w:val="2"/>
          <w:sz w:val="24"/>
          <w:szCs w:val="24"/>
          <w:lang w:eastAsia="ru-RU"/>
        </w:rPr>
        <w:t> участника сделки - получателя.</w:t>
      </w:r>
    </w:p>
    <w:p w14:paraId="3250C60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В графе 4 "Наименование покупателя (импортера)" указывается полное наименование юридического лица (импортера) с указанием его организационно-правовой формы.</w:t>
      </w:r>
    </w:p>
    <w:p w14:paraId="5FCA8FB1"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5 "Налоговый период" указывается период, за который сдается отчетность по мониторингу сделок.</w:t>
      </w:r>
    </w:p>
    <w:p w14:paraId="78F765F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6 и 7 "Дата декларации на товары (Заявления)" и "№ декларации на товары (Заявления)" указываются дата и номер декларации на товары или дата и номер Заявления о ввозе товаров и уплате косвенных налогов (далее – Заявление). При этом дата и номер Заявления указываются в случаях внешнеэкономической деятельности со странами государств-членов Евразийского экономического союза.</w:t>
      </w:r>
    </w:p>
    <w:p w14:paraId="46104D4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8 "Код ТН ВЭД ЕАЭС" указывается код Товарной номенклатуры внешнеэкономической деятельности Евразийского экономического союза.</w:t>
      </w:r>
    </w:p>
    <w:p w14:paraId="7A70DF9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9 "Наименование товара (работы, услуги)" отражается наименование импортируемых товаров (работ, услуг).</w:t>
      </w:r>
    </w:p>
    <w:p w14:paraId="573DFB3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10 "Качественные характеристики товара (работы, услуги)" указываются качество товара (работы, услуги) в случае наличия такого условия.</w:t>
      </w:r>
    </w:p>
    <w:p w14:paraId="7FDC68A3"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Качество товара (работы, услуги) представляет собой совокупность свойств, характеристик, указанных в </w:t>
      </w:r>
      <w:hyperlink r:id="rId23" w:anchor="z8" w:history="1">
        <w:r w:rsidRPr="000F66DA">
          <w:rPr>
            <w:rFonts w:ascii="Times New Roman" w:eastAsia="Times New Roman" w:hAnsi="Times New Roman" w:cs="Times New Roman"/>
            <w:color w:val="073A5E"/>
            <w:spacing w:val="2"/>
            <w:sz w:val="24"/>
            <w:szCs w:val="24"/>
            <w:u w:val="single"/>
            <w:lang w:eastAsia="ru-RU"/>
          </w:rPr>
          <w:t>сертификате</w:t>
        </w:r>
      </w:hyperlink>
      <w:r w:rsidRPr="000F66DA">
        <w:rPr>
          <w:rFonts w:ascii="Times New Roman" w:eastAsia="Times New Roman" w:hAnsi="Times New Roman" w:cs="Times New Roman"/>
          <w:color w:val="000000"/>
          <w:spacing w:val="2"/>
          <w:sz w:val="24"/>
          <w:szCs w:val="24"/>
          <w:lang w:eastAsia="ru-RU"/>
        </w:rPr>
        <w:t> качества (соответствия) товара (работы, услуги) и, обуславливающих их пригодность удовлетворять определенные потребности в соответствии с их назначением. Свойство - объективная особенность товара (работы, услуги), проявляющаяся при ее создании, оценке, хранении и потреблении (эксплуатации). Показатель качества - количественное и качественное выражение свойств товара (работы, услуги). Показатели качества являются физическими или нефизическими величинами. Физические величины (длина, масса, плотность) могут измеряться количественно и качественно. Наименование показателя служит качественной характеристикой товара (например, массовая доля сахара в соке, длина хлопкового волокна). Единичные показатели - показатели, предназначенные для выражения простых свойств товара. К ним относятся цвет, форма, целостность, кислотность и другие.</w:t>
      </w:r>
    </w:p>
    <w:p w14:paraId="45A743BA"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11 "Репутация на рынке товаров (работ, услуг)" указывается информация о репутации на рынке, представляющей собой устойчивое мнение о достоинствах и недостатках организации в деловом мире (в определенном сегменте рынка). Информация о репутации на рынке товаров (работ, услуг) складывается из таких показателей, как качество товара (работы, услуги), устойчивость финансового положения, доля рынка, доступность информации о компании, ее публичность и известность.</w:t>
      </w:r>
    </w:p>
    <w:p w14:paraId="3CDE22F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12 "Страна отправления товара, выполнения работы, оказания услуги)" указывается страна, из которой импортируется товар, выполняются работы, оказываются услуги.</w:t>
      </w:r>
    </w:p>
    <w:p w14:paraId="30F13DB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13 "Вид транспортировки" указываются виды транспортов (железнодорожный, воздушный и другие), используемых для импорта товара.</w:t>
      </w:r>
    </w:p>
    <w:p w14:paraId="31DA893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В графе 14 "Страна происхождения товара (работы, услуги)" указывается страна, в которой произведен товар (работа, услуга) в случае наличия таких данных.</w:t>
      </w:r>
    </w:p>
    <w:p w14:paraId="27CE47F0"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15 "Производитель товара (работы, услуги)" указывается производитель товара (работы, услуги) в случае наличия таких данных.</w:t>
      </w:r>
    </w:p>
    <w:p w14:paraId="2FAA96E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16 "Наличие товарного знака (торговой марки, бренда)" указывается наличие товарного знака (торговой марки, бренда) в случае наличия таких данных.</w:t>
      </w:r>
    </w:p>
    <w:p w14:paraId="3E6D130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17 "Условия поставки товара" указываются условия поставки товара согласно Инкотермс.</w:t>
      </w:r>
    </w:p>
    <w:p w14:paraId="797F18C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18 и 19 "Дата и место отгрузки товара (работы, услуги)" указывается дата и место отгрузки товара (работ, услуг).</w:t>
      </w:r>
    </w:p>
    <w:p w14:paraId="1BE771F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20 "Страна назначения товара (работы, услуги)" указывается страна назначения товара (работы, услуги).</w:t>
      </w:r>
    </w:p>
    <w:p w14:paraId="190B4C5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21 "Пункт доставки товара (работы, услуги)" указывается пункт доставки товара (работы, услуги).</w:t>
      </w:r>
    </w:p>
    <w:p w14:paraId="617BC5D8"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22 и 23 "Наименование продавца (отправителя)" и "Юридический адрес продавца (отправителя)" указывается фамилия, имя, отчество (при его наличии) физического лица или наименование юридического лица-продавца (отправителя) товара (работы, услуги) и юридический адрес продавца (отправителя).</w:t>
      </w:r>
    </w:p>
    <w:p w14:paraId="6461EA6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24 "Страна регистрации продавца (отправителя)" указывается страна регистрации продавца (отправителя).</w:t>
      </w:r>
    </w:p>
    <w:p w14:paraId="1B6B3436"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25 "Торгующая страна" проставляется цифровой код торгующей страны товара (работы, услуги) в соответствии с Классификатором стран мира, утвержденным </w:t>
      </w:r>
      <w:hyperlink r:id="rId24" w:anchor="z0" w:history="1">
        <w:r w:rsidRPr="000F66DA">
          <w:rPr>
            <w:rFonts w:ascii="Times New Roman" w:eastAsia="Times New Roman" w:hAnsi="Times New Roman" w:cs="Times New Roman"/>
            <w:color w:val="073A5E"/>
            <w:spacing w:val="2"/>
            <w:sz w:val="24"/>
            <w:szCs w:val="24"/>
            <w:u w:val="single"/>
            <w:lang w:eastAsia="ru-RU"/>
          </w:rPr>
          <w:t>Решением</w:t>
        </w:r>
      </w:hyperlink>
      <w:r w:rsidRPr="000F66DA">
        <w:rPr>
          <w:rFonts w:ascii="Times New Roman" w:eastAsia="Times New Roman" w:hAnsi="Times New Roman" w:cs="Times New Roman"/>
          <w:color w:val="000000"/>
          <w:spacing w:val="2"/>
          <w:sz w:val="24"/>
          <w:szCs w:val="24"/>
          <w:lang w:eastAsia="ru-RU"/>
        </w:rPr>
        <w:t> Комиссии Таможенного союза от 20 сентября 2010 года № 378 "О классификаторах, используемых для заполнения таможенных деклараций".</w:t>
      </w:r>
    </w:p>
    <w:p w14:paraId="7ABEC29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Под торгующей страной понимается страна, где зарегистрировано или постоянно проживает лицо, с которым участник сделки заключил договор, в соответствии с которым товары перемещаются через таможенную границу Республики Казахстан.</w:t>
      </w:r>
    </w:p>
    <w:p w14:paraId="033B5BC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26 "Информация о взаимосвязанности сторон (продавца и покупателя)" указывается информация о взаимосвязанности сторон (продавца и покупателя) в случае наличия таких данных.</w:t>
      </w:r>
    </w:p>
    <w:p w14:paraId="173C4A71"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графах 27 и 28 "Дата и № контракта (договора)" указываются дата и номер контракта (договора).</w:t>
      </w:r>
    </w:p>
    <w:p w14:paraId="7F009B87"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29 "Дата и № счета-фактуры" указываются дата и № счета-фактуры.</w:t>
      </w:r>
    </w:p>
    <w:p w14:paraId="555B900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lastRenderedPageBreak/>
        <w:t xml:space="preserve">      В графе 30 "Единица измерения товара" указывается единица измерения товара (штуки, килограммы, тонны, метры, кубометры, литры, </w:t>
      </w:r>
      <w:proofErr w:type="spellStart"/>
      <w:r w:rsidRPr="000F66DA">
        <w:rPr>
          <w:rFonts w:ascii="Times New Roman" w:eastAsia="Times New Roman" w:hAnsi="Times New Roman" w:cs="Times New Roman"/>
          <w:color w:val="000000"/>
          <w:spacing w:val="2"/>
          <w:sz w:val="24"/>
          <w:szCs w:val="24"/>
          <w:lang w:eastAsia="ru-RU"/>
        </w:rPr>
        <w:t>кВТ</w:t>
      </w:r>
      <w:proofErr w:type="spellEnd"/>
      <w:r w:rsidRPr="000F66DA">
        <w:rPr>
          <w:rFonts w:ascii="Times New Roman" w:eastAsia="Times New Roman" w:hAnsi="Times New Roman" w:cs="Times New Roman"/>
          <w:color w:val="000000"/>
          <w:spacing w:val="2"/>
          <w:sz w:val="24"/>
          <w:szCs w:val="24"/>
          <w:lang w:eastAsia="ru-RU"/>
        </w:rPr>
        <w:t xml:space="preserve"> и другие единицы измерения, применяемые в Республике Казахстан).</w:t>
      </w:r>
    </w:p>
    <w:p w14:paraId="34B0BA9A"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31 "Объем реализации товара" указывается объем фактически произведенного импорта товара в единицах измерения, указанных в графе 30.</w:t>
      </w:r>
    </w:p>
    <w:p w14:paraId="7AF374E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32 "Стоимость (в валюте контракта (договора)" указывается стоимость в валюте контракта (договора).</w:t>
      </w:r>
    </w:p>
    <w:p w14:paraId="68D94671"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33 "Цена сделки (приобретения) (в валюте контракта (договора))" указывается цена сделки в валюте контракта (договора).</w:t>
      </w:r>
    </w:p>
    <w:p w14:paraId="72704C9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34 "Валюта контракта (договора)" указывается валюта, в которой осуществлялась оплата импортируемого товара (работы, услуги) по контракту (договору).</w:t>
      </w:r>
    </w:p>
    <w:p w14:paraId="593834F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35 "Курс тенге" указывается рыночный курс тенге к валюте контракта (договора) на дату признания расхода.</w:t>
      </w:r>
    </w:p>
    <w:p w14:paraId="5C55EE2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36 "Методология трансфертного ценообразования" указывается, совокупность принципов установления цены сделки, обосновывающих уровень динамики этой цены.</w:t>
      </w:r>
    </w:p>
    <w:p w14:paraId="679F48DA"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37 "Факторы, влияющие на установление цены сделки" указываются факторы, оказывающие влияние на установление цены сделки.</w:t>
      </w:r>
    </w:p>
    <w:p w14:paraId="64BAD3D8"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38 "Метод, применяемый для определения рыночной цены" указывается один из методов, определенных </w:t>
      </w:r>
      <w:hyperlink r:id="rId25" w:anchor="z136" w:history="1">
        <w:r w:rsidRPr="000F66DA">
          <w:rPr>
            <w:rFonts w:ascii="Times New Roman" w:eastAsia="Times New Roman" w:hAnsi="Times New Roman" w:cs="Times New Roman"/>
            <w:color w:val="073A5E"/>
            <w:spacing w:val="2"/>
            <w:sz w:val="24"/>
            <w:szCs w:val="24"/>
            <w:u w:val="single"/>
            <w:lang w:eastAsia="ru-RU"/>
          </w:rPr>
          <w:t>статьей 12</w:t>
        </w:r>
      </w:hyperlink>
      <w:r w:rsidRPr="000F66DA">
        <w:rPr>
          <w:rFonts w:ascii="Times New Roman" w:eastAsia="Times New Roman" w:hAnsi="Times New Roman" w:cs="Times New Roman"/>
          <w:color w:val="000000"/>
          <w:spacing w:val="2"/>
          <w:sz w:val="24"/>
          <w:szCs w:val="24"/>
          <w:lang w:eastAsia="ru-RU"/>
        </w:rPr>
        <w:t> Закона и применяемых участником сделки для определения рыночной цены.</w:t>
      </w:r>
    </w:p>
    <w:p w14:paraId="6E5E00F3"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39 "Источник информации" указывается источник информации, применяемый для определения рыночной цены товара (работы, услуги).</w:t>
      </w:r>
    </w:p>
    <w:p w14:paraId="2757514E"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40 "Дифференциал" указываются сведения, подтвержденные документально и (или) источниками информации, предусмотренными </w:t>
      </w:r>
      <w:hyperlink r:id="rId26" w:anchor="z180" w:history="1">
        <w:r w:rsidRPr="000F66DA">
          <w:rPr>
            <w:rFonts w:ascii="Times New Roman" w:eastAsia="Times New Roman" w:hAnsi="Times New Roman" w:cs="Times New Roman"/>
            <w:color w:val="073A5E"/>
            <w:spacing w:val="2"/>
            <w:sz w:val="24"/>
            <w:szCs w:val="24"/>
            <w:u w:val="single"/>
            <w:lang w:eastAsia="ru-RU"/>
          </w:rPr>
          <w:t>статьей 18</w:t>
        </w:r>
      </w:hyperlink>
      <w:r w:rsidRPr="000F66DA">
        <w:rPr>
          <w:rFonts w:ascii="Times New Roman" w:eastAsia="Times New Roman" w:hAnsi="Times New Roman" w:cs="Times New Roman"/>
          <w:color w:val="000000"/>
          <w:spacing w:val="2"/>
          <w:sz w:val="24"/>
          <w:szCs w:val="24"/>
          <w:lang w:eastAsia="ru-RU"/>
        </w:rPr>
        <w:t> Закона.</w:t>
      </w:r>
    </w:p>
    <w:p w14:paraId="5BD6EDE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41 "Рыночная цена товара (работы, услуги)" указывается рыночная цена товара (работы, услуги).</w:t>
      </w:r>
    </w:p>
    <w:p w14:paraId="5F70DB0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42 "Описание предпринимательской деятельности участника сделки (импортера), отрасли деятельности и условий рынка" указывается описание деятельности участника сделки по производству и (или) реализации товаров, выполнению работ или оказанию услуг, в том числе коммерческое посредничество, торгово-закупочная, инновационная, консультационная деятельность, операции с ценными бумагами.</w:t>
      </w:r>
    </w:p>
    <w:p w14:paraId="07908DC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xml:space="preserve">      В графе 43 "Стратегия бизнеса" указываются сведения, относящиеся к стратегии бизнеса участника сделки, представляющей собой процессы использования имеющегося потенциала для производства продукции, выполнения работ, оказания услуг, которая </w:t>
      </w:r>
      <w:r w:rsidRPr="000F66DA">
        <w:rPr>
          <w:rFonts w:ascii="Times New Roman" w:eastAsia="Times New Roman" w:hAnsi="Times New Roman" w:cs="Times New Roman"/>
          <w:color w:val="000000"/>
          <w:spacing w:val="2"/>
          <w:sz w:val="24"/>
          <w:szCs w:val="24"/>
          <w:lang w:eastAsia="ru-RU"/>
        </w:rPr>
        <w:lastRenderedPageBreak/>
        <w:t>включает в себя цели фирмы, политику и планы реализации поставленных целей, определяет сферу бизнеса, в которой сосредоточена основная деятельность компании, а также природу экономических и внешнеэкономических достижений.</w:t>
      </w:r>
    </w:p>
    <w:p w14:paraId="4F9B5E56"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44 "Другая информация, обосновывающая правильность применения цены сделки товара (работы, услуги)" указывается информация, которую, по мнению участника сделки необходимо отразить в целях предоставления обоснования по применяемым ценам.</w:t>
      </w:r>
    </w:p>
    <w:p w14:paraId="167EE3A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45 "Другая информация, влияющая на величину отклонения цены сделки товара (работы, услуги) от рыночной цены" указывается информация, которая, по мнению участника сделки, оказывает влияние на величину отклонения цены сделки товара (работы, услуги) от рыночной цены.</w:t>
      </w:r>
    </w:p>
    <w:p w14:paraId="1CF16D4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46 "Прогноз цен на товары (работы, услуги)" указывается прогноз цен на импортируемые товары (работы, услуги) участником сделки.</w:t>
      </w:r>
    </w:p>
    <w:p w14:paraId="74F9A87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47 "Стратегия ведения деловых операций" указываются сведения, относящиеся к стратегии ведения деловых операций.</w:t>
      </w:r>
    </w:p>
    <w:p w14:paraId="28C194A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48 "Отчеты по международным стандартам бухгалтерского учета, в том числе финансовая отчетность" указывается информация, представляющая единую систему данных о финансовом положении организации, финансовых результатах ее деятельности и изменениях в ее финансовом положении.</w:t>
      </w:r>
    </w:p>
    <w:p w14:paraId="256FE0C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49 "Функциональный анализ, анализ рисков, материальных и нематериальных активов" указываются сведения о сфере деятельности компании, ее обязанностей, рисков и активов, для того чтобы определить как обязанности, риски и активы распределены между компаниями, которые участвуют в операции.</w:t>
      </w:r>
    </w:p>
    <w:p w14:paraId="500FB2B2"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50 "Маржа, комиссионное (агентское) вознаграждение торгового брокера, трейдера или агента либо компенсации за выполнение ими торгово-посреднических функций" указывается маржа, комиссионное (агентское) вознаграждение торгового брокера, трейдера или агента либо компенсации за выполнение ими торгово-посреднических функций.</w:t>
      </w:r>
    </w:p>
    <w:p w14:paraId="0547468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xml:space="preserve">      В графе 51 "Котировальный период" указывается период ценообразования, но не более тридцати одного календарного последовательного дня, за которые опубликованы котировки цен на бирже, установленный в контракте на реализацию товара (работы, услуги), в течение которого в соответствии с условиями сделки сторонами сделки определяется среднеарифметическое значение среднеарифметических ежедневных котировок цен на соответствующие биржевые товары (работы, услуги), а также </w:t>
      </w:r>
      <w:proofErr w:type="spellStart"/>
      <w:r w:rsidRPr="000F66DA">
        <w:rPr>
          <w:rFonts w:ascii="Times New Roman" w:eastAsia="Times New Roman" w:hAnsi="Times New Roman" w:cs="Times New Roman"/>
          <w:color w:val="000000"/>
          <w:spacing w:val="2"/>
          <w:sz w:val="24"/>
          <w:szCs w:val="24"/>
          <w:lang w:eastAsia="ru-RU"/>
        </w:rPr>
        <w:t>небиржевые</w:t>
      </w:r>
      <w:proofErr w:type="spellEnd"/>
      <w:r w:rsidRPr="000F66DA">
        <w:rPr>
          <w:rFonts w:ascii="Times New Roman" w:eastAsia="Times New Roman" w:hAnsi="Times New Roman" w:cs="Times New Roman"/>
          <w:color w:val="000000"/>
          <w:spacing w:val="2"/>
          <w:sz w:val="24"/>
          <w:szCs w:val="24"/>
          <w:lang w:eastAsia="ru-RU"/>
        </w:rPr>
        <w:t xml:space="preserve"> товары, цены на которые привязаны к котировкам на биржевые товары.</w:t>
      </w:r>
    </w:p>
    <w:p w14:paraId="1A69B08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В графе 52 "Цена из источника информации" указывается цена, полученная из официально признанных источников информации, данных о биржевых котировках, от уполномоченных органов, а также из других источников информации.</w:t>
      </w:r>
    </w:p>
    <w:p w14:paraId="5E6D11BB" w14:textId="77777777" w:rsidR="000F66DA" w:rsidRPr="000F66DA" w:rsidRDefault="000F66DA" w:rsidP="000F66DA">
      <w:pPr>
        <w:shd w:val="clear" w:color="auto" w:fill="FFFFFF"/>
        <w:spacing w:before="225" w:after="135" w:line="390" w:lineRule="atLeast"/>
        <w:textAlignment w:val="baseline"/>
        <w:outlineLvl w:val="2"/>
        <w:rPr>
          <w:rFonts w:ascii="Times New Roman" w:eastAsia="Times New Roman" w:hAnsi="Times New Roman" w:cs="Times New Roman"/>
          <w:color w:val="1E1E1E"/>
          <w:sz w:val="24"/>
          <w:szCs w:val="24"/>
          <w:lang w:eastAsia="ru-RU"/>
        </w:rPr>
      </w:pPr>
      <w:r w:rsidRPr="000F66DA">
        <w:rPr>
          <w:rFonts w:ascii="Times New Roman" w:eastAsia="Times New Roman" w:hAnsi="Times New Roman" w:cs="Times New Roman"/>
          <w:color w:val="1E1E1E"/>
          <w:sz w:val="24"/>
          <w:szCs w:val="24"/>
          <w:lang w:eastAsia="ru-RU"/>
        </w:rPr>
        <w:lastRenderedPageBreak/>
        <w:t>Глава 4. Порядок ведения документации по мониторингу сделок участниками сделок, осуществляющими сделки с товарами, которые подлежат мониторингу сделок</w:t>
      </w:r>
    </w:p>
    <w:p w14:paraId="66016EE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11. Участники сделок ведут документацию, подтверждающую обоснованность применяемой цены, и по запросу органов государственных доходов представляют ее в органы государственных доходов.</w:t>
      </w:r>
    </w:p>
    <w:p w14:paraId="5E3F8E61"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12. В обоснование применяемых цен в международных деловых операциях участники сделок ведут следующую документацию:</w:t>
      </w:r>
    </w:p>
    <w:p w14:paraId="4746061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 контракты (договоры) по реализации товаров (с дополнениями и изменениями);</w:t>
      </w:r>
    </w:p>
    <w:p w14:paraId="64656F6F"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2) сведения об инвестициях (долях, акциях) в компаниях Республики Казахстан и зарубежных стран;</w:t>
      </w:r>
    </w:p>
    <w:p w14:paraId="2270DA8E"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3) счета-фактуры (инвойсы), акты приема-передачи товаров;</w:t>
      </w:r>
    </w:p>
    <w:p w14:paraId="5E7D3C45"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4) выписки из банка по поступлениям от экспорта товаров;</w:t>
      </w:r>
    </w:p>
    <w:p w14:paraId="057E163C"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5) декларации на товары (с оборотными сторонами) (заявления);</w:t>
      </w:r>
    </w:p>
    <w:p w14:paraId="5127B63D"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6) паспорта сделок;</w:t>
      </w:r>
    </w:p>
    <w:p w14:paraId="7B873612" w14:textId="77777777" w:rsidR="000F66DA" w:rsidRPr="000F66DA" w:rsidRDefault="000F66DA" w:rsidP="000F66DA">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7) </w:t>
      </w:r>
      <w:hyperlink r:id="rId27" w:anchor="z8" w:history="1">
        <w:r w:rsidRPr="000F66DA">
          <w:rPr>
            <w:rFonts w:ascii="Times New Roman" w:eastAsia="Times New Roman" w:hAnsi="Times New Roman" w:cs="Times New Roman"/>
            <w:color w:val="073A5E"/>
            <w:spacing w:val="2"/>
            <w:sz w:val="24"/>
            <w:szCs w:val="24"/>
            <w:u w:val="single"/>
            <w:lang w:eastAsia="ru-RU"/>
          </w:rPr>
          <w:t>сертификаты</w:t>
        </w:r>
      </w:hyperlink>
      <w:r w:rsidRPr="000F66DA">
        <w:rPr>
          <w:rFonts w:ascii="Times New Roman" w:eastAsia="Times New Roman" w:hAnsi="Times New Roman" w:cs="Times New Roman"/>
          <w:color w:val="000000"/>
          <w:spacing w:val="2"/>
          <w:sz w:val="24"/>
          <w:szCs w:val="24"/>
          <w:lang w:eastAsia="ru-RU"/>
        </w:rPr>
        <w:t> качества товаров;</w:t>
      </w:r>
    </w:p>
    <w:p w14:paraId="0D3250AB"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8) сертификаты происхождения товаров;</w:t>
      </w:r>
    </w:p>
    <w:p w14:paraId="5E4D7AF9"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9) источники информации, используемые для определения рыночной цены;</w:t>
      </w:r>
    </w:p>
    <w:p w14:paraId="5D738DE7"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10) информация о методе, применяемом для определения рыночной цены;</w:t>
      </w:r>
    </w:p>
    <w:p w14:paraId="3517C2E4" w14:textId="77777777" w:rsidR="000F66DA" w:rsidRPr="000F66DA" w:rsidRDefault="000F66DA" w:rsidP="000F66DA">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eastAsia="ru-RU"/>
        </w:rPr>
      </w:pPr>
      <w:r w:rsidRPr="000F66DA">
        <w:rPr>
          <w:rFonts w:ascii="Times New Roman" w:eastAsia="Times New Roman" w:hAnsi="Times New Roman" w:cs="Times New Roman"/>
          <w:color w:val="000000"/>
          <w:spacing w:val="2"/>
          <w:sz w:val="24"/>
          <w:szCs w:val="24"/>
          <w:lang w:eastAsia="ru-RU"/>
        </w:rPr>
        <w:t>      11) другие документы, обосновывающие правильность применения цен и подтверждающие расходы по реализации товаров (транспортировка товара, страхование, на оплату услуг посредника, расходы по перевалке в портах, фрахт судна, подтверждающие таможенные платежи и налоги, железнодорожные и другие транспортные накладные, морские коносаменты, подтверждающие скидки и надбавки за качество, и другие расходы).</w:t>
      </w:r>
    </w:p>
    <w:p w14:paraId="1B2B67C6" w14:textId="77777777" w:rsidR="004C68DA" w:rsidRPr="000F66DA" w:rsidRDefault="004C68DA">
      <w:pPr>
        <w:rPr>
          <w:rFonts w:ascii="Times New Roman" w:hAnsi="Times New Roman" w:cs="Times New Roman"/>
          <w:sz w:val="24"/>
          <w:szCs w:val="24"/>
        </w:rPr>
      </w:pPr>
    </w:p>
    <w:sectPr w:rsidR="004C68DA" w:rsidRPr="000F66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FAF"/>
    <w:rsid w:val="000F66DA"/>
    <w:rsid w:val="00387FAF"/>
    <w:rsid w:val="004C6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CBE48"/>
  <w15:chartTrackingRefBased/>
  <w15:docId w15:val="{98FFA5F1-4F57-4226-9EBE-6C63FBBB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0F66D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F66DA"/>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F66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0F66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F66DA"/>
    <w:rPr>
      <w:color w:val="0000FF"/>
      <w:u w:val="single"/>
    </w:rPr>
  </w:style>
  <w:style w:type="character" w:customStyle="1" w:styleId="note1">
    <w:name w:val="note1"/>
    <w:basedOn w:val="a0"/>
    <w:rsid w:val="000F6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66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1500010760" TargetMode="External"/><Relationship Id="rId13" Type="http://schemas.openxmlformats.org/officeDocument/2006/relationships/hyperlink" Target="https://adilet.zan.kz/rus/docs/Z080000067_" TargetMode="External"/><Relationship Id="rId18" Type="http://schemas.openxmlformats.org/officeDocument/2006/relationships/hyperlink" Target="https://adilet.zan.kz/rus/docs/H10T0000378" TargetMode="External"/><Relationship Id="rId26" Type="http://schemas.openxmlformats.org/officeDocument/2006/relationships/hyperlink" Target="https://adilet.zan.kz/rus/docs/Z080000067_" TargetMode="External"/><Relationship Id="rId3" Type="http://schemas.openxmlformats.org/officeDocument/2006/relationships/webSettings" Target="webSettings.xml"/><Relationship Id="rId21" Type="http://schemas.openxmlformats.org/officeDocument/2006/relationships/hyperlink" Target="https://adilet.zan.kz/rus/docs/Z070000223_" TargetMode="External"/><Relationship Id="rId7" Type="http://schemas.openxmlformats.org/officeDocument/2006/relationships/hyperlink" Target="https://adilet.zan.kz/rus/docs/V1500010760" TargetMode="External"/><Relationship Id="rId12" Type="http://schemas.openxmlformats.org/officeDocument/2006/relationships/hyperlink" Target="https://adilet.zan.kz/rus/docs/V1500010760" TargetMode="External"/><Relationship Id="rId17" Type="http://schemas.openxmlformats.org/officeDocument/2006/relationships/hyperlink" Target="https://adilet.zan.kz/rus/docs/H12EK000293" TargetMode="External"/><Relationship Id="rId25" Type="http://schemas.openxmlformats.org/officeDocument/2006/relationships/hyperlink" Target="https://adilet.zan.kz/rus/docs/Z080000067_" TargetMode="External"/><Relationship Id="rId2" Type="http://schemas.openxmlformats.org/officeDocument/2006/relationships/settings" Target="settings.xml"/><Relationship Id="rId16" Type="http://schemas.openxmlformats.org/officeDocument/2006/relationships/hyperlink" Target="https://adilet.zan.kz/rus/docs/Z070000223_" TargetMode="External"/><Relationship Id="rId20" Type="http://schemas.openxmlformats.org/officeDocument/2006/relationships/hyperlink" Target="https://adilet.zan.kz/rus/docs/Z080000067_"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adilet.zan.kz/rus/docs/V1500010680" TargetMode="External"/><Relationship Id="rId11" Type="http://schemas.openxmlformats.org/officeDocument/2006/relationships/hyperlink" Target="https://adilet.zan.kz/rus/docs/V1500010760" TargetMode="External"/><Relationship Id="rId24" Type="http://schemas.openxmlformats.org/officeDocument/2006/relationships/hyperlink" Target="https://adilet.zan.kz/rus/docs/H10T0000378" TargetMode="External"/><Relationship Id="rId5" Type="http://schemas.openxmlformats.org/officeDocument/2006/relationships/hyperlink" Target="https://adilet.zan.kz/rus/docs/K1700000120" TargetMode="External"/><Relationship Id="rId15" Type="http://schemas.openxmlformats.org/officeDocument/2006/relationships/hyperlink" Target="https://adilet.zan.kz/rus/docs/Z070000223_" TargetMode="External"/><Relationship Id="rId23" Type="http://schemas.openxmlformats.org/officeDocument/2006/relationships/hyperlink" Target="https://adilet.zan.kz/rus/docs/H12EK000293" TargetMode="External"/><Relationship Id="rId28" Type="http://schemas.openxmlformats.org/officeDocument/2006/relationships/fontTable" Target="fontTable.xml"/><Relationship Id="rId10" Type="http://schemas.openxmlformats.org/officeDocument/2006/relationships/hyperlink" Target="https://adilet.zan.kz/rus/docs/V1500010760" TargetMode="External"/><Relationship Id="rId19" Type="http://schemas.openxmlformats.org/officeDocument/2006/relationships/hyperlink" Target="https://adilet.zan.kz/rus/docs/Z080000067_" TargetMode="External"/><Relationship Id="rId4" Type="http://schemas.openxmlformats.org/officeDocument/2006/relationships/hyperlink" Target="https://adilet.zan.kz/rus/docs/Z080000067_" TargetMode="External"/><Relationship Id="rId9" Type="http://schemas.openxmlformats.org/officeDocument/2006/relationships/hyperlink" Target="https://adilet.zan.kz/rus/docs/Z070000223_" TargetMode="External"/><Relationship Id="rId14" Type="http://schemas.openxmlformats.org/officeDocument/2006/relationships/hyperlink" Target="https://adilet.zan.kz/rus/docs/V1500010760" TargetMode="External"/><Relationship Id="rId22" Type="http://schemas.openxmlformats.org/officeDocument/2006/relationships/hyperlink" Target="https://adilet.zan.kz/rus/docs/Z070000223_" TargetMode="External"/><Relationship Id="rId27" Type="http://schemas.openxmlformats.org/officeDocument/2006/relationships/hyperlink" Target="https://adilet.zan.kz/rus/docs/H12EK0002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4545</Words>
  <Characters>25913</Characters>
  <Application>Microsoft Office Word</Application>
  <DocSecurity>0</DocSecurity>
  <Lines>215</Lines>
  <Paragraphs>60</Paragraphs>
  <ScaleCrop>false</ScaleCrop>
  <Company/>
  <LinksUpToDate>false</LinksUpToDate>
  <CharactersWithSpaces>30398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2022-08-23T09:31:00Z</dcterms:created>
  <dcterms:modified xsi:type="dcterms:W3CDTF">2022-08-23T09:34:00Z</dcterms:modified>
</cp:coreProperties>
</file>