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4BCCA" w14:textId="77777777" w:rsidR="00BA4CAB" w:rsidRPr="00BA4CAB" w:rsidRDefault="00BA4CAB" w:rsidP="00BA4CA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Қазақстан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Республикасы</w:t>
      </w:r>
      <w:proofErr w:type="spellEnd"/>
    </w:p>
    <w:p w14:paraId="4ACB775C" w14:textId="77777777" w:rsidR="00BA4CAB" w:rsidRPr="00BA4CAB" w:rsidRDefault="00BA4CAB" w:rsidP="00BA4CA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министрінің</w:t>
      </w:r>
      <w:proofErr w:type="spellEnd"/>
    </w:p>
    <w:p w14:paraId="7AAEE66D" w14:textId="77777777" w:rsidR="00BA4CAB" w:rsidRPr="00BA4CAB" w:rsidRDefault="00BA4CAB" w:rsidP="00BA4CA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2018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13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ақпандағы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№ 171</w:t>
      </w:r>
    </w:p>
    <w:p w14:paraId="22CAD3EB" w14:textId="5F924B3D" w:rsidR="00BA4CAB" w:rsidRDefault="00BA4CAB" w:rsidP="00BA4CA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бұйрығымен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бекітілген</w:t>
      </w:r>
      <w:proofErr w:type="spellEnd"/>
    </w:p>
    <w:p w14:paraId="0A5D5A60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</w:p>
    <w:p w14:paraId="5A309CA3" w14:textId="77777777" w:rsidR="00BA4CAB" w:rsidRPr="00BA4CAB" w:rsidRDefault="00BA4CAB" w:rsidP="00BA4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</w:pP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Мемлекеттік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кірістер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органдарына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ұсыну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қағидалары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мен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мерзімдері</w:t>
      </w:r>
      <w:proofErr w:type="spellEnd"/>
    </w:p>
    <w:p w14:paraId="15F5F0E2" w14:textId="77777777" w:rsidR="00BA4CAB" w:rsidRPr="00BA4CAB" w:rsidRDefault="00BA4CAB" w:rsidP="00BA4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1-тарау.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Жалпы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ережелер</w:t>
      </w:r>
      <w:proofErr w:type="spellEnd"/>
    </w:p>
    <w:p w14:paraId="1726D583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1. Осы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Мемлекеттік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кірістер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органдарына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қағидалары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бұдан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−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Қағидалар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)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бюджетке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төленетін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басқа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міндетті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төлемдер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Қазақстан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Республикасы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Кодексінің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кодексі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24-бабы 2)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3)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тармақшалары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мен 27-бабының 4-тармағына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әзірленді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ақпаратпен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алмасу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халықаралық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келісім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шеңберінде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ұйымдарының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тәртібі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мен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мерзімдерін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бұдан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айқындайды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47D9BA09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2. Осы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Қағидаларда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мынадай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ұғымдар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пайдаланылады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:</w:t>
      </w:r>
    </w:p>
    <w:p w14:paraId="06C2D4FF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орган −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Қазақстан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Республикасы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министрлігінің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Мемлекеттік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кірістер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комитеті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7B71F96C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2)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ұйымдары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екінші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деңгейдегі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банктер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банк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операцияларының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жекелеген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түрлерін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жүзеге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асыратын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ұйымдар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кастодиандар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орталық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депозитарий,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брокерлер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қағаздарды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номиналды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ұстаушылар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ретінде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клиенттердің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шоттарын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жүргізу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құқығы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бар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дилерлер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инвестициялық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портфельді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басқарушылар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,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өмірді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сақтандыру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саласында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қызметті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жүзеге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асыратын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сақтандыру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ұйымдары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Қазақстан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Республикасының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бейрезидент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банктерінің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филиалдары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Қазақстан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Республикасының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бейрезидент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сақтандыру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қайта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сақтандыру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ұйымдарының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филиалдары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Қазақстан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Республикасының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бейрезидент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сақтандыру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брокерлерінің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филиалдары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5E7AACAD" w14:textId="3A60C7FA" w:rsid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3) 019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осы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Қағидаларға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1-қосымшаға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ұсынылатын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органдарға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ұсынылатын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салықтық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есептілік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2DE49704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</w:p>
    <w:p w14:paraId="233F6036" w14:textId="35823C16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2-тарау.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ұсыну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тәртібі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мерзімдері</w:t>
      </w:r>
      <w:proofErr w:type="spellEnd"/>
    </w:p>
    <w:p w14:paraId="6047E458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</w:p>
    <w:p w14:paraId="515AB8A7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3.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телекоммуникациялық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желісі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арқылы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электрондық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түрде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жүзеге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асырылады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206AD1FC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4.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ұйымдары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сайын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кезеңнен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кейінгі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30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маусымынан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кешіктірмей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ретте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бастапқы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2014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жылдан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бастап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кезеңге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дейінгі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де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3D0678EE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5.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осы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Қағидаларға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2-қосымшаға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электрондық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019-нысанды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қабылдағаны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қабылдамағаны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растауды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3C5A07C5" w14:textId="410FE154" w:rsid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Электрондық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019-нысанды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қабылдау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өңдеу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болып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табылады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194439CC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</w:p>
    <w:p w14:paraId="64E8EB14" w14:textId="6969F843" w:rsid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3-тарау.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түріне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байланысты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ұсынылатын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мәліметтердің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тізбесі</w:t>
      </w:r>
      <w:proofErr w:type="spellEnd"/>
    </w:p>
    <w:p w14:paraId="2166022D" w14:textId="77777777" w:rsidR="00BA4CAB" w:rsidRPr="00BA4CAB" w:rsidRDefault="00BA4CAB" w:rsidP="00BA4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</w:pPr>
    </w:p>
    <w:p w14:paraId="568F484A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6.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ұйымдары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мынадай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:</w:t>
      </w:r>
    </w:p>
    <w:p w14:paraId="51D5198C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банктік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ағымдағы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жинақ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);</w:t>
      </w:r>
    </w:p>
    <w:p w14:paraId="7741E174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2)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қағаздарды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алуға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арналған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357317ED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3)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клиенттердің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кастодиандық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қызмет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шеңберінде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активтерді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алуға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арналған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1B69B172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4) металл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40C92DCB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7.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Екінші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деңгейдегі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банктерді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,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Қазақстанның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Даму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Банкі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акционерлік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қоғамы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мен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Ұлттық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операторын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қоспағанда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брокерлер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дилерлер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lastRenderedPageBreak/>
        <w:t>органға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тұлғалардың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қағаздарын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алуға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арналған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00EE9440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8.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Біріңғай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тіркеуші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тұлғалардың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қағаздарын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алуға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арналған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дербес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5BBA0402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9.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Инвестициялық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портфельді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басқарушы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қағаздарды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қоспағанда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өзге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активтердің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бар-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0A38B9BE" w14:textId="616E3809" w:rsid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10.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Өмірді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сақтандыру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саласында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қызметін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жүзеге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асыратын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сақтандыру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ұйымдары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тұлғалармен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жасалған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сатып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сомасымен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жинақтаушы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сақтандыру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шарттары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5C689A3E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</w:p>
    <w:p w14:paraId="3D3A5403" w14:textId="33F228B9" w:rsid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4-тарау.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жасау</w:t>
      </w:r>
      <w:proofErr w:type="spellEnd"/>
    </w:p>
    <w:p w14:paraId="6C10FFC5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</w:pPr>
    </w:p>
    <w:p w14:paraId="01B5D474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11.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бірнеше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әрбір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осындай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бойынша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толтырылады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37A4260E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12.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бойынша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бірнеше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иелері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әрбір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осындай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бойынша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толтырылады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2F54BE9B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13.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Елдің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кодын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көрсеткен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Халықаралық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стандарттау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ISO 3166-1 Альфа 2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стандартына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келетін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қолданылады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612110C8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14. Валюта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кодын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көрсеткен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Халықаралық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стандарттау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ISO 4217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стандартына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келетін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қолданылады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4C8DA5A4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15. 019.00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Жалпы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ақпарат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бөлімінде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мынадай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деректер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:</w:t>
      </w:r>
    </w:p>
    <w:p w14:paraId="71186E60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1) 1-жолда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типі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514F44FF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кезең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алғаш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жаңа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деректерді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негізгі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ұяшығы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белгіленеді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6916C8AB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бұрын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ұсынылған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түзету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сұрау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салуы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бойынша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ұсынылатын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негізгі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ретінде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түзетілген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ақпаратпен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түзетілген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ұяшығы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белгіленеді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сұрау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салуы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ақпараттық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жүйе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арқылы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жіберіледі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);</w:t>
      </w:r>
    </w:p>
    <w:p w14:paraId="2A1D46C0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бұрын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ұсынылған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өзгерту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ұсынылатын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негізгі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ретінде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өзгертілген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ақпаратпен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өзгертілген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ұяшық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белгіленеді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ретте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өзгертілген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нысанмен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жойылған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ұяшығы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белгілене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отырып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бұрын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ұсынылған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табыс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40300C8A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табыс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ету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ұйымдары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ұяшықты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белгілейді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Жалпы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ақпарат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бөлімін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ғана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толтырады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0E5DED57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2) 2-жолда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алдыңғы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тіркеу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жоюға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жататын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алдыңғы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сәйкестендіру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өзгертілген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толтырылады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);</w:t>
      </w:r>
    </w:p>
    <w:p w14:paraId="4466E8F7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3) 3-жолда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ұсынылатын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кезең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(араб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цифрларымен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).</w:t>
      </w:r>
    </w:p>
    <w:p w14:paraId="3B0414B6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16. 019.00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ақпарат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бөлімінде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мынадай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деректер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:</w:t>
      </w:r>
    </w:p>
    <w:p w14:paraId="269B60D0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1) 4-жолда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бизнес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сәйкестендіру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бұдан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– БСН)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31DDC51C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2) 5-жолда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атауы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құрылтай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өзге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де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құжаттарға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23DF89D5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3) 6-жолда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санатының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51B76EDE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4) 7-жолда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орналасқан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қызметі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көшенің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бойынша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поштаны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жеткізбесе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индексі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бар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көше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орнына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индексінің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05252739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5) 8-жолда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делдалдың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жаһандық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сәйкестендіру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– Америка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Құрама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Штаттары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Федералды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Басқармасының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ресми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интернет-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ресурсында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тіркеуден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өткен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lastRenderedPageBreak/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ұйымдарына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берілетін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сәйкестендіру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бұдан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– GIIN);</w:t>
      </w:r>
    </w:p>
    <w:p w14:paraId="7D5E70BF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6) 9-жолда Америка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Құрама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Штаттары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төлеушісінің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сәйкестендіру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бұдан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– TIN);</w:t>
      </w:r>
    </w:p>
    <w:p w14:paraId="2B1854B0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7) 10-жолда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демеуші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делдалдың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БСН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5F759CCE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8) 11-жолда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демеуші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делдалдың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атауы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3E0D85DE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9) 12-жолда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демеуші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делдалдың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орналасқан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жерінің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қызметі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поштаны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көше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бойынша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жеткізбесе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индексі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көше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орнына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индексінің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27D5793B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10) 13-жолда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демеуші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делдалдың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GIIN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43988F45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11) 14-жолда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демеуші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делдалдың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TIN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4EBD24CE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17. 019.00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жауапкершілігі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бөлімінде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мыналар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:</w:t>
      </w:r>
    </w:p>
    <w:p w14:paraId="4939CB67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лауазымды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адамның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тегі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әкесінің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жолында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адамның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тегі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әкесінің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493CFCB8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беру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жолында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уәкілетті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ұсынған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43B7F191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18. 019.01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төлемдер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бенефициары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бөлім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мемлекеттік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кірістер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органына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төлемдер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бенефициары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толтырылады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:</w:t>
      </w:r>
    </w:p>
    <w:p w14:paraId="02BB0F89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1) 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0001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форматындағы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жолдың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реттік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5D4FB5A9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2) В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санатының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коды»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:</w:t>
      </w:r>
    </w:p>
    <w:p w14:paraId="55F90BC2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заңды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тұлғалар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филиалдар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мен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өкілдіктер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) – 1;</w:t>
      </w:r>
    </w:p>
    <w:p w14:paraId="4E44E984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тұлғалар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(дара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кәсіпкер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«ДК») – 2;</w:t>
      </w:r>
    </w:p>
    <w:p w14:paraId="44BF5734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3) С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Тегі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әкесінің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/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атауы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бенефициары»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тегі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әкесінің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бенефициары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заңды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атауы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7B812F18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4) D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В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азаматтығы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25F89751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5) Е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B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төлеушінің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сәйкестендіру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«ЖЖЖЖ-АА-КК»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форматында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4CD1D1F8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6) F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бенефициарының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TIN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2871053D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7) G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TIN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елдің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12E2CF74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8) H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төлемдер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бенефициарының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резиденттік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елінің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223D43E6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9) I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бенефициарының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заңды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тұлғасының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типі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В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заңды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толтырылады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Заңды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түріне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мынадай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мәндер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толтырылады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:</w:t>
      </w:r>
    </w:p>
    <w:p w14:paraId="23628F38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FATCA101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белгілі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американдық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құжатпен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растаған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шетелдік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институты;</w:t>
      </w:r>
    </w:p>
    <w:p w14:paraId="171D27D2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FATCA102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маңызды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американдық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бар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пассивті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шетелдік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емес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548D59E9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FATCA103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қатыспайтын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шетелдік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институты;</w:t>
      </w:r>
    </w:p>
    <w:p w14:paraId="4DBF2971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FATCA104 – АҚШ-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белгілі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тұлғасы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39A5C02C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FATCA105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тікелей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шетелдік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емес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институт;</w:t>
      </w:r>
    </w:p>
    <w:p w14:paraId="26CA35F2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10) J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жолында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Орналасқан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жерінің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төлемдер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бенефициарының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бенефициарының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тұрғылықты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тұратын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түсініледі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мұндай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болмаса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иесімен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төлемдер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бенефициарымен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байланыс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жасау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пайдаланатын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36845636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19. 019.01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Бенефициарлық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меншік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бақылаушы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бөлімі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С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бенефициары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бөлімінде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пассивті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шетелдік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емес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иелері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туралы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беру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толтырылады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:</w:t>
      </w:r>
    </w:p>
    <w:p w14:paraId="0DEC3288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lastRenderedPageBreak/>
        <w:t xml:space="preserve">1) K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Бенефициарлық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меншік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бақылаушы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тегі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әкесінің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/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атауы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тегі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әкесінің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заңды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атауы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395B47E0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2) L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K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азаматтығы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«Ел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резиденттігі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коды»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кодтауға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7DE12640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3)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K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төлеушінің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сәйкестендіру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M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«ЖЖЖЖ-АА-КК»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форматында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туған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41856933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4) N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бенефициарлық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меншік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бақылаушы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TIN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36219E6C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5) O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TIN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елдің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42C7675B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6) P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бенефициарлық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меншік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бақылаушы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резиденттік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елінің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76D4EAE4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7) Q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Орналасқан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жерінің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бенефициарлық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меншік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бақылаушы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тұлғаның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тұрғылықты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тұратын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түсініледі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мұндай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болмаса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иесімен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байланыс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жасау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пайдаланатын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пошталық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мекенжайы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61442F0D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20. 019.01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нысанның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ақпарат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бөлімі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беру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шотына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жататын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ақпаратты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толтырылады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:</w:t>
      </w:r>
    </w:p>
    <w:p w14:paraId="0FCDFA3D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1) R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беру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мақсатында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ақпаратты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сәйкестендіруге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мүмкіндік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беретін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жеке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сәйкестендіру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өзге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сәйкестендіру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кастодиандық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депозитарлық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борышқа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қатысу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үлесіне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жататын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коды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кастодиандық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шотта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сақталмаса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сатып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құнымен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сақтандыру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шартының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аннуитет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шартының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сәйкестендіру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.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нөмірлеу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жүйесі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NANUM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not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applicable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–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нөмір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болуының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жоқтығы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);</w:t>
      </w:r>
    </w:p>
    <w:p w14:paraId="6C05BAF1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2) S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валюта коды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32E1A603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3) T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ішінде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жабылуы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ақпарат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деген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бөлімде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жабылған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күнтізбелік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ішінде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толық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ауыстырылған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белгі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қойылады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иесі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сол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қаржы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ұйымында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түрінен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басқа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түріне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күнтізбелік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қайта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ресімдейтін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болса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жабылған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ретінде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көрсетілмейді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);</w:t>
      </w:r>
    </w:p>
    <w:p w14:paraId="15AAA1AD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4) U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төлем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коды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**;</w:t>
      </w:r>
    </w:p>
    <w:p w14:paraId="4E09227E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5) V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«Баланс»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күнтізбелік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басқа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тиісті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кезеңнің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соңындағы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жағдай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бойынша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балансы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егер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осындай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кезеңде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жабылса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жабылу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сәтінде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теңгерімі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құны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4F7D21E6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6) W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Дивидендтер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күнтізбелік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табыс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етуге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жататын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шоттағы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төленген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есептелген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ақша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дивидендтерінің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жалпы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жиынтық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сомасы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0E8A6480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7) X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Пайыздар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күнтізбелік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табыс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етуге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жататын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шоттағы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төленген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есептелген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ақша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сыйақыларының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(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пайыздарының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)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жалпы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жиынтық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сомасы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6E3E4436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8) Y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Жалпы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пайда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күнтізбелік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үшін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мәліметтерді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табыс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етуге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жататын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шоттағы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төленген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есептелген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ақшаның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сатудан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түскен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түсім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иеленуді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сатып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алулардың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жалпы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жиынтық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сомасы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65CBB0EB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9) Z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«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Басқалар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»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алдыңғы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X, W, Y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бағандарында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пайыздарды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дивидендтерді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және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жалпы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жиынтық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түсімін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шегере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отырып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,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күнтізбелік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жылда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шотағы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төленген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шотта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есептелген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ақшаның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барлық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кірістердің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жалпы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жиынтық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сомасы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;</w:t>
      </w:r>
    </w:p>
    <w:p w14:paraId="524F1763" w14:textId="77777777" w:rsidR="00BA4CAB" w:rsidRPr="00BA4CAB" w:rsidRDefault="00BA4CAB" w:rsidP="00BA4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10) W, X, W, Y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бағандарды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толтыру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кезінде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бір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немесе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одан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көп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кіріс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түрі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 xml:space="preserve"> </w:t>
      </w:r>
      <w:proofErr w:type="spellStart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көрсетіледі</w:t>
      </w:r>
      <w:proofErr w:type="spellEnd"/>
      <w:r w:rsidRPr="00BA4CAB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.</w:t>
      </w:r>
    </w:p>
    <w:p w14:paraId="3ABAB437" w14:textId="77777777" w:rsidR="00CB4B4A" w:rsidRPr="00BA4CAB" w:rsidRDefault="00CB4B4A">
      <w:pPr>
        <w:rPr>
          <w:rFonts w:ascii="Times New Roman" w:hAnsi="Times New Roman" w:cs="Times New Roman"/>
          <w:sz w:val="24"/>
          <w:szCs w:val="24"/>
        </w:rPr>
      </w:pPr>
    </w:p>
    <w:sectPr w:rsidR="00CB4B4A" w:rsidRPr="00BA4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16"/>
    <w:rsid w:val="00A05316"/>
    <w:rsid w:val="00BA4CAB"/>
    <w:rsid w:val="00CB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184E"/>
  <w15:chartTrackingRefBased/>
  <w15:docId w15:val="{B7C903DF-A6F9-479D-B870-7BFBE90E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6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8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0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6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64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6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08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54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06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03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5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7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9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1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2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9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4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1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1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67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1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1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61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05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9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4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98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7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6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8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4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11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5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47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7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93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5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2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4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22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8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75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8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9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2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4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6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42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52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6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47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3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93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5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4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5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05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8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99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1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2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0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7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01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73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4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2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96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2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2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60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19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29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47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21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9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0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8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9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39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4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2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06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0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58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9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86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0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94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1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66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8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02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4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56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7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6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0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25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2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8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08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12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11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2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2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1865</Words>
  <Characters>10631</Characters>
  <Application>Microsoft Office Word</Application>
  <DocSecurity>0</DocSecurity>
  <Lines>88</Lines>
  <Paragraphs>24</Paragraphs>
  <ScaleCrop>false</ScaleCrop>
  <Company/>
  <LinksUpToDate>false</LinksUpToDate>
  <CharactersWithSpaces>12472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Айдарханова</dc:creator>
  <cp:keywords/>
  <dc:description/>
  <cp:lastModifiedBy>Меруерт Айдарханова</cp:lastModifiedBy>
  <cp:revision>2</cp:revision>
  <dcterms:created xsi:type="dcterms:W3CDTF">2022-06-16T06:31:00Z</dcterms:created>
  <dcterms:modified xsi:type="dcterms:W3CDTF">2022-06-16T06:32:00Z</dcterms:modified>
</cp:coreProperties>
</file>