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9AD93" w14:textId="77777777" w:rsidR="00BB4C5C" w:rsidRPr="00BB4C5C" w:rsidRDefault="00BB4C5C" w:rsidP="00BB4C5C">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BB4C5C">
        <w:rPr>
          <w:rFonts w:ascii="Times New Roman" w:eastAsia="Times New Roman" w:hAnsi="Times New Roman" w:cs="Times New Roman"/>
          <w:color w:val="000000"/>
          <w:sz w:val="24"/>
          <w:szCs w:val="24"/>
          <w:lang w:eastAsia="ru-RU"/>
        </w:rPr>
        <w:t>Қазақстан Реcпубликасының</w:t>
      </w:r>
    </w:p>
    <w:p w14:paraId="24449AA0" w14:textId="77777777" w:rsidR="00BB4C5C" w:rsidRPr="00BB4C5C" w:rsidRDefault="00BB4C5C" w:rsidP="00BB4C5C">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Қаржы министрі</w:t>
      </w:r>
    </w:p>
    <w:p w14:paraId="76ECA4C5" w14:textId="77777777" w:rsidR="00BB4C5C" w:rsidRPr="00BB4C5C" w:rsidRDefault="00BB4C5C" w:rsidP="00BB4C5C">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2025 жылғы 12 қарашадағы</w:t>
      </w:r>
    </w:p>
    <w:p w14:paraId="6F79FFB1" w14:textId="77777777" w:rsidR="00BB4C5C" w:rsidRPr="00BB4C5C" w:rsidRDefault="00BB4C5C" w:rsidP="00BB4C5C">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 699</w:t>
      </w:r>
    </w:p>
    <w:p w14:paraId="36531952" w14:textId="77777777" w:rsidR="00BB4C5C" w:rsidRPr="00BB4C5C" w:rsidRDefault="00BB4C5C" w:rsidP="00BB4C5C">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бұйрығына 1-қосымша</w:t>
      </w:r>
    </w:p>
    <w:p w14:paraId="70813902"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«Екінші деңгейдегі банктердің,</w:t>
      </w:r>
    </w:p>
    <w:p w14:paraId="28750753"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Қазақстан Республикасының</w:t>
      </w:r>
    </w:p>
    <w:p w14:paraId="2CA6CFE6"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бейрезидент- банктерінің</w:t>
      </w:r>
    </w:p>
    <w:p w14:paraId="16826EBE"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филиалдары мен банк</w:t>
      </w:r>
    </w:p>
    <w:p w14:paraId="24DF2DBE"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операцияларының жекелеген</w:t>
      </w:r>
    </w:p>
    <w:p w14:paraId="20EA86C6"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түрлерін жүзеге асыратын ұйымдардың,</w:t>
      </w:r>
    </w:p>
    <w:p w14:paraId="60412EF9"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бағалы қағаздарды номиналды</w:t>
      </w:r>
    </w:p>
    <w:p w14:paraId="3FB3E684"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ұстаушылар ретінде клиенттердің</w:t>
      </w:r>
    </w:p>
    <w:p w14:paraId="739F2A8B"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шоттарын жүргізу құқығына ие</w:t>
      </w:r>
    </w:p>
    <w:p w14:paraId="3C301979"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инвестициялық портфельді</w:t>
      </w:r>
    </w:p>
    <w:p w14:paraId="1C4DFDEB"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басқаратындарды қоса алғанда,</w:t>
      </w:r>
    </w:p>
    <w:p w14:paraId="7712D45E"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кастодиандардың, орталық</w:t>
      </w:r>
    </w:p>
    <w:p w14:paraId="286A1C9A"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депозитарийдің, брокерлердің</w:t>
      </w:r>
    </w:p>
    <w:p w14:paraId="09D7FC91"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және (немесе) дилерлердің,</w:t>
      </w:r>
    </w:p>
    <w:p w14:paraId="3E00F821"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қызметін «өмірді сақтандыру»</w:t>
      </w:r>
    </w:p>
    <w:p w14:paraId="463BDF55"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саласы бойынша жүзеге асыратын</w:t>
      </w:r>
    </w:p>
    <w:p w14:paraId="01F39573"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сақтандыру ұйымдарының, сақтандыру</w:t>
      </w:r>
    </w:p>
    <w:p w14:paraId="78B920E2"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(қайта сақтандыру) ұйымдарының,</w:t>
      </w:r>
    </w:p>
    <w:p w14:paraId="712F8293"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Қазақстан Республикасының</w:t>
      </w:r>
    </w:p>
    <w:p w14:paraId="46B137B7"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бейрезидент- сақтандыру</w:t>
      </w:r>
    </w:p>
    <w:p w14:paraId="17B33A21"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(қайта сақтандыру)</w:t>
      </w:r>
    </w:p>
    <w:p w14:paraId="51C9C4E0"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ұйымдары филиалдарының және</w:t>
      </w:r>
    </w:p>
    <w:p w14:paraId="4492AAC1"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сақтандыру брокерлерінің мемлекеттік</w:t>
      </w:r>
    </w:p>
    <w:p w14:paraId="49AD7EBC"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кірістер органдарына ұсынатын</w:t>
      </w:r>
    </w:p>
    <w:p w14:paraId="1FE3DD39" w14:textId="77777777" w:rsidR="00BB4C5C" w:rsidRPr="00BB4C5C" w:rsidRDefault="00BB4C5C" w:rsidP="00BB4C5C">
      <w:pPr>
        <w:spacing w:after="0"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мәліметтер» (026.00-нысан)» нысанына</w:t>
      </w:r>
    </w:p>
    <w:p w14:paraId="03AA8EE8" w14:textId="77777777" w:rsidR="00BB4C5C" w:rsidRPr="00BB4C5C" w:rsidRDefault="00BB4C5C" w:rsidP="00BB4C5C">
      <w:pPr>
        <w:spacing w:line="240" w:lineRule="auto"/>
        <w:jc w:val="right"/>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қосымша</w:t>
      </w:r>
    </w:p>
    <w:bookmarkEnd w:id="0"/>
    <w:p w14:paraId="4138FA6D" w14:textId="77777777" w:rsidR="00BB4C5C" w:rsidRPr="00BB4C5C" w:rsidRDefault="00BB4C5C" w:rsidP="00BB4C5C">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BB4C5C">
        <w:rPr>
          <w:rFonts w:ascii="Times New Roman" w:eastAsia="Times New Roman" w:hAnsi="Times New Roman" w:cs="Times New Roman"/>
          <w:b/>
          <w:bCs/>
          <w:color w:val="000000"/>
          <w:sz w:val="24"/>
          <w:szCs w:val="24"/>
          <w:lang w:eastAsia="ru-RU"/>
        </w:rPr>
        <w:t>Екінші деңгейдегі банктердің, Қазақстан Республикасының бейрезидент-банктерінің филиалдары мен банк операцияларының жекелеген түрлерін жүзеге асыратын ұйымдардың, бағалы қағаздарды номиналды ұстаушылар ретінде клиенттердің шоттарын жүргізу құқығына ие инвестициялық портфельді басқаратындарды қоса алғанда, кастодиандардың, орталық депозитарийдің, брокерлердің және (немесе) дилерлердің, қызметін «өмірді сақтандыру» саласы бойынша жүзеге асыратын сақтандыру ұйымдарының, сақтандыру (қайта сақтандыру) ұйымдарының, Қазақстан Республикасының бейрезидент-сақтандыру (қайта сақтандыру) ұйымдары филиалдарының және сақтандыру брокерлерінің мемлекеттік кірістер органдарына ұсынатын мәліметтерді толтыру бойынша түсіндірме (026.00-нысан)</w:t>
      </w:r>
    </w:p>
    <w:p w14:paraId="41EBFE84" w14:textId="77777777" w:rsidR="00BB4C5C" w:rsidRPr="00BB4C5C" w:rsidRDefault="00BB4C5C" w:rsidP="00BB4C5C">
      <w:pPr>
        <w:spacing w:line="240" w:lineRule="auto"/>
        <w:jc w:val="center"/>
        <w:textAlignment w:val="baseline"/>
        <w:rPr>
          <w:rFonts w:ascii="Times New Roman" w:eastAsia="Times New Roman" w:hAnsi="Times New Roman" w:cs="Times New Roman"/>
          <w:b/>
          <w:bCs/>
          <w:color w:val="000000"/>
          <w:sz w:val="24"/>
          <w:szCs w:val="24"/>
          <w:lang w:eastAsia="ru-RU"/>
        </w:rPr>
      </w:pPr>
      <w:r w:rsidRPr="00BB4C5C">
        <w:rPr>
          <w:rFonts w:ascii="Times New Roman" w:eastAsia="Times New Roman" w:hAnsi="Times New Roman" w:cs="Times New Roman"/>
          <w:b/>
          <w:bCs/>
          <w:color w:val="000000"/>
          <w:sz w:val="24"/>
          <w:szCs w:val="24"/>
          <w:lang w:eastAsia="ru-RU"/>
        </w:rPr>
        <w:t>1-тарау. Жалпы ережелер</w:t>
      </w:r>
    </w:p>
    <w:p w14:paraId="158FDC68"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 xml:space="preserve">1. «Екінші деңгейдегі банктердің, Қазақстан Республикасының бейрезидент-банктерінің филиалдары мен банк операцияларының жекелеген түрлерін жүзеге асыратын ұйымдардың, бағалы қағаздарды номиналды ұстаушылар ретінде клиенттердің шоттарын жүргізу құқығына ие инвестициялық портфельді басқаратындарды қоса алғанда, кастодиандардың, орталық депозитарийдің, брокерлердің және (немесе) дилерлердің, қызметін «өмірді сақтандыру» саласы бойынша жүзеге асыратын сақтандыру ұйымдарының, сақтандыру (қайта сақтандыру) ұйымдарының, Қазақстан Республикасының бейрезидент-сақтандыру (қайта сақтандыру) ұйымдары филиалдарының </w:t>
      </w:r>
      <w:r w:rsidRPr="00BB4C5C">
        <w:rPr>
          <w:rFonts w:ascii="Times New Roman" w:eastAsia="Times New Roman" w:hAnsi="Times New Roman" w:cs="Times New Roman"/>
          <w:color w:val="000000"/>
          <w:sz w:val="24"/>
          <w:szCs w:val="24"/>
          <w:lang w:eastAsia="ru-RU"/>
        </w:rPr>
        <w:lastRenderedPageBreak/>
        <w:t>және сақтандыру брокерлерінің мемлекеттік кірістер органдарына ұсынатын мәліметтер (026.00-нысан)» нысаны (бұдан әрі – 026.00-нысан) Қазақстан Республикасының Қаржы министрлігі Мемлекеттік кірістер комитетінің (бұдан әрі - Комитет) екінші деңгейдегі банктерден, Қазақстан Республикасының бейрезидент-банктерінің филиалдары мен банк операцияларының жекелеген түрлерін жүзеге асыратын ұйымдардан, бағалы қағаздарды номиналды ұстаушылар ретінде клиенттердің шоттарын жүргізу құқығына ие инвестициялық портфельді басқаратындарды қоса алғанда, кастодиандардан, орталық депозитарийден, брокерлерден және (немесе) дилерлерден, қызметін «өмірді сақтандыру» саласы бойынша жүзеге асыратын сақтандыру ұйымдарынан, сақтандыру (қайта сақтандыру) ұйымдарынан, Қазақстан Республикасының бейрезидент-сақтандыру (қайта сақтандыру) ұйымдарының филиалдарынан және сақтандыру брокерлерінен (бұдан әрі - есеп беретін қаржы ұйымы) Қазақстан Республикасының Заңымен ратификацияланған Салық істері бойынша өзара әкімшілік көмек туралы конвенция (бұдан әрі – Конвенция) кіріспесінің сегізінші абзацын және 6-бабын ескере отырып, Экономикалық ынтымақтастық және даму ұйымы ұсынған Қаржы шоттары туралы ақпараттандыру үшін ақпарат алмасу және кешенді тексеру жүргізу жөніндегі бірыңғай стандартты ескере отырып (бұдан әрі – ЭЫДҰ есептілігінің бірыңғай стандарты) мынадай:</w:t>
      </w:r>
    </w:p>
    <w:p w14:paraId="4B073C13"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 бейрезидент-жеке тұлғалармен, бейрезидент-заңды тұлғалармен, бейрезидент бенефициарлық меншік иелері болып табылатын заңды тұлғалармен жасалған шарттар шеңберінде ашылған бағалы қағаздар мен өзге де қаржы құралдарын есепке алуға арналған жеке шоттардың бар-жоғы туралы, сондай-ақ осы шоттардағы бағалы қағаздар мен өзге де қаржы құралдарының қалдықтары туралы;</w:t>
      </w:r>
    </w:p>
    <w:p w14:paraId="6F988AE1"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шоттардың бар-жоғы, олардың нөмірлері туралы, осы шоттардағы ақша қалдықтары туралы, сондай-ақ өзге мүліктің, оның ішінде шоттарда орналастырылған немесе бейрезидент-жеке тұлғалардың, бейрезидент-заңды тұлғалардың, бейрезиденттер бенефициарлық меншік иелері болып табылатын заңды тұлғалардың басқаруында өзге мүліктің бар-жоғы, түрі және құны туралы мәліметтер;</w:t>
      </w:r>
    </w:p>
    <w:p w14:paraId="4A14BBBF"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бейрезидент-жеке тұлғаларға, бейрезидент-заңды тұлғаларға, сондай-ақ бейрезиденттер бенефициарлық меншік иелері болып табылатын заңды тұлғаларға тиесілі бағалы қағаздарды қоспағанда, өзге активтердің бар-жоғы туралы;</w:t>
      </w:r>
    </w:p>
    <w:p w14:paraId="18735858"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4) шет мемлекеттің уәкілетті органының ақпарат алмасу туралы халықаралық шартқа сәйкес жіберген сұрау салуында көрсетілген жеке және заңды тұлғаларға тиесілі, осы тармақтың 2) тармақшасында көрсетілгендерді қоспағанда, өзге активтердің, сондай-ақ осындай тұлғалар жеке немесе заңды тұлғамен жасасқан шартқа қатысты өзге де ақпараттың бар-жоғы туралы;</w:t>
      </w:r>
    </w:p>
    <w:p w14:paraId="1C10E629"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5) бейрезидент-жеке тұлғалар пайда алушылар болып табылатын, жасалған жинақтаушы сақтандыру шарттары туралы;</w:t>
      </w:r>
    </w:p>
    <w:p w14:paraId="4F5A8397"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6) шет мемлекеттің уәкілетті органының ақпарат алмасу туралы халықаралық шартқа сәйкес жіберген сұрау салуында көрсетілген жеке тұлғалар пайда алушылар болып табылатын, жасалған жинақтаушы сақтандыру шарттары, сондай-ақ осы жинақтаушы сақтандыру шарттарына қатысты өзге де ақпарат туралы;</w:t>
      </w:r>
    </w:p>
    <w:p w14:paraId="5E7729BF"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7) ақпарат алмасу туралы халықаралық шартқа сәйкес банктік шоттардың бар-жоғы және олардың нөмірлері туралы, осы шоттардағы ақша қалдықтары туралы, өзге де мүліктің, оның ішінде металл шоттарда орналастырылған немесе бейрезидент-жеке тұлғалардың, бейрезидент-заңды тұлғалардың, бейрезиденттер бенефициарлық меншік иелері болып табылатын заңды тұлғалардың басқаруында өзге мүліктің бар-жоғы, түрі және құны туралы, оның ішінде:</w:t>
      </w:r>
    </w:p>
    <w:p w14:paraId="1C8961D3"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кастодиандық, брокерлік және (немесе) дилерлік қызметті жүзеге асыру шеңберінде бейрезидент-жеке тұлғаның, бейрезидент-заңды тұлғаның, бейрезидент бенефициарлық меншік иесі болып табылатын заңды тұлғаның ашылған шоты бойынша:</w:t>
      </w:r>
    </w:p>
    <w:p w14:paraId="5D7AA288"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 xml:space="preserve">тиісті есепті кезең ішінде шотқа (немесе шотқа қатысты) төленген немесе есептелген әрбір жағдайда шотта сақталатын активтер бойынша алынған пайыздардың жалпы </w:t>
      </w:r>
      <w:r w:rsidRPr="00BB4C5C">
        <w:rPr>
          <w:rFonts w:ascii="Times New Roman" w:eastAsia="Times New Roman" w:hAnsi="Times New Roman" w:cs="Times New Roman"/>
          <w:color w:val="000000"/>
          <w:sz w:val="24"/>
          <w:szCs w:val="24"/>
          <w:lang w:eastAsia="ru-RU"/>
        </w:rPr>
        <w:lastRenderedPageBreak/>
        <w:t>жиынтық сомасы, дивидендтердің жалпы жиынтық сомасы және өзге де кірістің жалпы жиынтық сомасы;</w:t>
      </w:r>
    </w:p>
    <w:p w14:paraId="44BA352A"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Қазақстан Республикасының қаржы ұйымы өздеріне қатысты бағалы қағаздардың номиналды ұстаушысы ретінде клиенттердің шоттарын жүргізу құқығына ие кастодиан, брокер және (немесе) дилер ретінде әрекет еткен күнтізбелік жыл немесе өзге де есепті кезең ішінде алынған қаржы активтерін сатудан немесе өтеуден түскен жалпы түсімдер;</w:t>
      </w:r>
    </w:p>
    <w:p w14:paraId="36966C77"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күнтізбелік жыл немесе тиісті есепті кезең ішінде төленген пайыздардың жалпы сомасы бойынша мәліметтерді жинауға арналған.</w:t>
      </w:r>
    </w:p>
    <w:p w14:paraId="43CBF3C3"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Қаржы ұйымымен жасалған шартқа сәйкес шот ашқан бір және сол жеке немесе заңды тұлғада (бұдан әрі – шот иесі) бірнеше есеп беретін шоттар болған кезде әрбір осындай шот бойынша жеке жол толтырылады.</w:t>
      </w:r>
    </w:p>
    <w:p w14:paraId="02535437"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Әріптік толтыруды қажет ететін барлық ашық жолдар мен бағандар ISO 8859 стандартына сәйкес келетін транслитерацияны қолдана отырып, тек латын тілінде толтырылады.</w:t>
      </w:r>
    </w:p>
    <w:p w14:paraId="51D26353"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4. Ел кодын көрсеткен кезде Халықаралық стандарттау ұйымының ISO 3166-1 Альфа 2 стандартына сәйкес келетін код қолданылады.</w:t>
      </w:r>
    </w:p>
    <w:p w14:paraId="0F393A7A"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5. Валюта кодын көрсеткен кезде Халықаралық стандарттау ұйымының ISO 4217 стандартына сәйкес келетін код қолданылады.</w:t>
      </w:r>
    </w:p>
    <w:p w14:paraId="21852434" w14:textId="77777777" w:rsidR="00BB4C5C" w:rsidRPr="00BB4C5C" w:rsidRDefault="00BB4C5C" w:rsidP="00BB4C5C">
      <w:pPr>
        <w:spacing w:line="240" w:lineRule="auto"/>
        <w:jc w:val="center"/>
        <w:textAlignment w:val="baseline"/>
        <w:rPr>
          <w:rFonts w:ascii="Times New Roman" w:eastAsia="Times New Roman" w:hAnsi="Times New Roman" w:cs="Times New Roman"/>
          <w:b/>
          <w:bCs/>
          <w:color w:val="000000"/>
          <w:sz w:val="24"/>
          <w:szCs w:val="24"/>
          <w:lang w:eastAsia="ru-RU"/>
        </w:rPr>
      </w:pPr>
      <w:r w:rsidRPr="00BB4C5C">
        <w:rPr>
          <w:rFonts w:ascii="Times New Roman" w:eastAsia="Times New Roman" w:hAnsi="Times New Roman" w:cs="Times New Roman"/>
          <w:b/>
          <w:bCs/>
          <w:color w:val="000000"/>
          <w:sz w:val="24"/>
          <w:szCs w:val="24"/>
          <w:lang w:eastAsia="ru-RU"/>
        </w:rPr>
        <w:t>2-тарау. 026.00 нысанын толтыру тәртібі</w:t>
      </w:r>
    </w:p>
    <w:p w14:paraId="0BCA961E"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6. Нысанның «Жалпы ақпарат» деген бөлімінде мынадай деректер көрсетіледі:</w:t>
      </w:r>
    </w:p>
    <w:p w14:paraId="75EDAB5A"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 1-жолда нысанның түрі көрсетіледі.</w:t>
      </w:r>
    </w:p>
    <w:p w14:paraId="39D38D36"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Есепті кезең ішінде алғаш рет жаңа деректерді ұсынған кезде «негізгі» ұяшық белгіленеді немесе егер мәлімет уәкілетті органның бұрын ұсынылған мәліметті түзету үшін сұрау салуы бойынша берілсе, онда мәлімет негізгі ақпарат ретінде түзетілген ақпаратпен бірге ұсынылады және «түзетілген» ұяшық белгіленуі тиіс.</w:t>
      </w:r>
    </w:p>
    <w:p w14:paraId="03DD31A7"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Комитеттің сұрау салуы Комитеттің ақпараттық жүйесі арқылы жолданады.</w:t>
      </w:r>
    </w:p>
    <w:p w14:paraId="57C68FC2"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Ұсыну үшін мәліметтері жоқ есеп беретін қаржы ұйымдары «есеп үшін шоты жоқ» ұяшығын белгілейді, тек «Жалпы ақпарат» бөлімі толтырылады.</w:t>
      </w:r>
    </w:p>
    <w:p w14:paraId="7785F93D"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2-жолда алдыңғы есептің тіркеу нөмірі көрсетіледі.</w:t>
      </w:r>
    </w:p>
    <w:p w14:paraId="69B78B59"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Жол жойылуға жататын алдыңғы мәліметті сәйкестендіру үшін өзгертілген мәліметті ұсыну кезінде толтырылады;</w:t>
      </w:r>
    </w:p>
    <w:p w14:paraId="4169CEA4"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3-жолда ақпарат ұсынылатын есепті кезең (жыл) көрсетіледі (араб цифрымен көрсетіледі).</w:t>
      </w:r>
    </w:p>
    <w:p w14:paraId="13294658"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7. Нысанның «Қаржы ұйымы туралы ақпарат» деген бөлімінде мынадай деректер көрсетіледі:</w:t>
      </w:r>
    </w:p>
    <w:p w14:paraId="317C4C80"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 4-жолда мәлімет ұсынатын есеп беретін қаржы ұйымының бизнес-сәйкестендіру нөмірі көрсетіледі;</w:t>
      </w:r>
    </w:p>
    <w:p w14:paraId="088F9CA0"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5-жолда құрылтай және өзге де құжаттарға сәйкес ақпарат ұсынатын есеп беретін қаржы ұйымының атауы көрсетіледі;</w:t>
      </w:r>
    </w:p>
    <w:p w14:paraId="08785C9A"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6-жолда орналасқан мекенжайы (пошта мекенжайы) көрсетіледі.</w:t>
      </w:r>
    </w:p>
    <w:p w14:paraId="0C853573"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Егер есеп беретін қаржы ұйымының пошта қызметі көше мекенжайы бойынша поштаны жеткізбесе және есеп беретін қаржы ұйымының пошта индексі болса, онда көше мекенжайының орнына пошта индексінің нөмірі көрсетіледі;</w:t>
      </w:r>
    </w:p>
    <w:p w14:paraId="6D602469"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Нысанның «Мәліметті ұсынған адамның Т.А.Ә.» ашық жолында есеп беретін қаржы ұйымының уәкілетті адамының тегі, аты, әкесінің аты (егер ол жеке басын куәландыратын құжатта көрсетілсе) (бұдан әрі - Т.А.Ә.) көрсетіледі;</w:t>
      </w:r>
    </w:p>
    <w:p w14:paraId="1C61D3B9"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Нысанның «Беру күні» ашық жолында уәкілетті органға мәлімет берілген күн көрсетіледі.</w:t>
      </w:r>
    </w:p>
    <w:p w14:paraId="7004122E"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8. Нысанның «Шот иесі туралы мәліметтер» деген бөлімінде мемлекеттік органға ұсынылатын шот иесі туралы мәліметті көрсету үшін толтырылады:</w:t>
      </w:r>
    </w:p>
    <w:p w14:paraId="673A74D5"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 нысанның А бағанында 0001 ворматында жолдың реттік нөмірі көрсетіледі;</w:t>
      </w:r>
    </w:p>
    <w:p w14:paraId="48A0EE9D"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нысанның В бағанында шот иесі санатының коды көрсетіледі:</w:t>
      </w:r>
    </w:p>
    <w:p w14:paraId="60EED1B4"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lastRenderedPageBreak/>
        <w:t>заңды тұлғалар үшін –1;</w:t>
      </w:r>
    </w:p>
    <w:p w14:paraId="44EFC9F8"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жеке тұлғалар үшін – 2;</w:t>
      </w:r>
    </w:p>
    <w:p w14:paraId="3E24184B"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нысанның С бағанында шот иесі-жеке тұлғаның Т.А.Ә. немесе егер В бағанында заңды тұлға көрсетілсе, шот иесі-заңды тұлғаның атауы көрсетіледі;</w:t>
      </w:r>
    </w:p>
    <w:p w14:paraId="09C4CFFD"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4) нысанның D бағанында егер В бағанында жеке тұлға көрсетілсе шот иесі-жеке тұлғаның күн-ай-жылы форматында туған күні көрсетіледі;</w:t>
      </w:r>
    </w:p>
    <w:p w14:paraId="5E6BCF1C"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5) нысанның Е бағанында салықтық резидент шот иесі болып табылатын шет мемлекет (аумақ) берген салық төлеушінің шетелдік сәйкестендіру нөмірі (немесе оның баламасы) көрсетіледі (бұдан әрі – шетелдік сәйкестендіру нөмірі). Егер шетелдік сәйкестендіру нөмірі болмаса, онда баған толтырылмайды;</w:t>
      </w:r>
    </w:p>
    <w:p w14:paraId="68F559D5"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6) нысанның F бағанында шетелдік сәйкестендіру нөмірін берген елдің коды көрсетіледі;</w:t>
      </w:r>
    </w:p>
    <w:p w14:paraId="27843977"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7) нысанның G бағанында шот иесінің салықтық резидент елінің коды көрсетіледі;</w:t>
      </w:r>
    </w:p>
    <w:p w14:paraId="169D5217"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8) нысанның H бағанында шот иесі - заңды тұлғаның типі көрсетіледі; көрсетілген баған егер В бағанында заңды тұлға көрсетілсе толтырылады, бұл ретте заңды тұлғаның типіне байланысты мынадай мәндер толтырылады:</w:t>
      </w:r>
    </w:p>
    <w:p w14:paraId="2C62F740"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«CRS 101 – есеп беретін юрисдикцияның тұлғалары болып табылатын және «Қылмыстық жолмен алынған кірістерді заңдастыруға (жылыстатуға) және терроризмді қаржыландыруға қарсы іс-қимыл туралы» Қазақстан Республикасының Заңына сәйкес келетін бір немесе бірнеше бақылаушы тұлғалары бар пассивті қаржылық емес ұйым.</w:t>
      </w:r>
    </w:p>
    <w:p w14:paraId="6BB4233F"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Бұл ретте:</w:t>
      </w:r>
    </w:p>
    <w:p w14:paraId="78B90F49"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 пассивті қаржылық емес ұйым деп белсенді қаржылық емес ұйымның өлшемшарттарына сәйкес келмейтін ұйым немесе инвестициялық ұйым болып табылмайтын ұйым түсініледі.</w:t>
      </w:r>
    </w:p>
    <w:p w14:paraId="6E8C56D5"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белсенді қаржылық емес ұйым деп Конвенцияның 6-бабын (бұдан әрі – Келісім) іске асыруға қабылданған 2014 жылғы 29 қазандағы құзыретті органдардың қаржы шоттары туралы ақпаратты автоматты түрде алмасу туралы көпжақты келісімінде (бұдан әрі – Келісім) белсенді қаржылық емес ұйымды айқындауда көрсетілген кез келген өлшемшарттарға сәйкес келетін ұйым түсініледі;</w:t>
      </w:r>
    </w:p>
    <w:p w14:paraId="18EC1833"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есеп беретін юрисдикция деп Келісімге қол қойған, уәкілетті органның ресми интернет-ресурсында орналастырылатын және кез келген өзгерістерді көрсететін есеп беретін юрисдикциялар тізбесіне енгізілген шет ел (аумақ) түсініледі;</w:t>
      </w:r>
    </w:p>
    <w:p w14:paraId="346928E1"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CRS 102 – Келісім мақсатында Есеп беретін тұлға;</w:t>
      </w:r>
    </w:p>
    <w:p w14:paraId="41521D19"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CRS 103 – Келісім мақсатында Есеп беретін тұлға болып табылатын пассивті қаржылық емес ұйым»;</w:t>
      </w:r>
    </w:p>
    <w:p w14:paraId="06332E5D"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9) нысанның I жолында елдің коды, орынның (облыстың, өңірдің, республикалық маңызы бар қаланың), ауданның/қаланың атауы, көшенің атауы, үйдің/ғимараттың нөмірі, қабаттың, кеңсенің нөмірі, пошта индексі көрсетіледі. Мекенжай шот иесінің тұрақты орналасқан жерін білдіреді. Есеп беретін қаржы ұйымында мұндай мекенжай болмаған жағдайда есеп беретін қаржы ұйымы шот иесімен байланысу үшін пайдаланатын пошта мекенжайы көрсетіледі.</w:t>
      </w:r>
    </w:p>
    <w:p w14:paraId="748656EF"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9. Нысанның «Бенефициарлық меншік иесі немесе бақылаушы тұлға туралы мәліметтер» бөлімі «Шот иесі туралы мәліметтер» бөлімінің С бағанында көрсетілген пассивті қаржылық емес ұйымның бенефициарлық меншік иесі немесе бақылаушы тұлғасы туралы мәліметтерді ұсыну үшін толтырылады:</w:t>
      </w:r>
    </w:p>
    <w:p w14:paraId="60C21505"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 нысанның J бағанында заңды тұлғаның атауы және бенефициарлық меншік иесінің немесе бақылаушы тұлғаның ТАӘ көрсетіледі;</w:t>
      </w:r>
    </w:p>
    <w:p w14:paraId="10AD46F2"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нысанның К бағанында егер J бағанында жеке тұлға көрсетілсе жеке тұлғаның күн-ай-жыл форматында туған күні көрсетіледі;</w:t>
      </w:r>
    </w:p>
    <w:p w14:paraId="62877B7E"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нысанның L бағанында шот иесінің шетелдік сәйкестендіру нөмірі көрсетіледі;</w:t>
      </w:r>
    </w:p>
    <w:p w14:paraId="029978DA"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4) нысанның М бағанында шетелдік сәйкестендіру нөмірін берген елдің коды көрсетіледі;</w:t>
      </w:r>
    </w:p>
    <w:p w14:paraId="54BE0222"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lastRenderedPageBreak/>
        <w:t>5) нысанның N бағанында шот иесінің резидент елінің коды көрсетіледі;</w:t>
      </w:r>
    </w:p>
    <w:p w14:paraId="1864C260"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6) нысанның О жолында мекенжайы (облыс, өңір, республикалық маңызы бар қала), аудан/қала, көше атауы, үй/ғимарат нөмірі, қабат, офис нөмірі, пошта индексі көрсетіледі. Мекенжай деп бенефициарлық меншік иесінің немесе бақылаушы тұлғаның тұрақты орналасқан жері түсініледі. Есеп беретін қаржы ұйымында мұндай мекенжайы болмаған жағдайда, есеп беретін қаржы ұйымы бенефициарлық меншік иесімен немесе бақылаушы тұлғамен байланысу үшін пайдаланатын пошта мекенжайы көрсетіледі.</w:t>
      </w:r>
    </w:p>
    <w:p w14:paraId="6C819631"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10. Нысанның «Қаржылық мәліметтер» деген бөлімінде есеп беретін шотқа қатысты қаржылық ақпаратты көрсету үшін толтырылады:</w:t>
      </w:r>
    </w:p>
    <w:p w14:paraId="426BD448"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1) нысанның Р бағанында шот нөмірі көрсетіледі. Есеп беретін қаржы ұйымы берген сәйкестендіру нөмірі шоттың нөмірі болып табылады. Егер қаржы ұйымында нөмірлеу жүйесі болмаса, онда «NANUM» көрсетіледі (Not applicable – нөмірдің болмауы);</w:t>
      </w:r>
    </w:p>
    <w:p w14:paraId="3DBB9903"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2) нысанның Q бағанында нысанның S, T, U, V, W бағандарында көрсетілген валюта коды көрсетіледі;</w:t>
      </w:r>
    </w:p>
    <w:p w14:paraId="60E9CD2C"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3) нысанның R бағанында егер «Қаржылық мәліметтер» бөлімінде көрсетілген шот күнтізбелік жыл ішінде жабылған болса, белгі қойылады;</w:t>
      </w:r>
    </w:p>
    <w:p w14:paraId="0470FCF6"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4) нысанның S бағанында күнтізбелік жылдың соңындағы жағдай бойынша немесе егер шот осындай кезеңде жабылған болса, жабылу сәтіндегі шоттағы ақша қалдығы немесе құны көрсетіледі. Өмірді сақтандыру жөніндегі ұйым толтырған кезде күнтізбелік жылдың соңына жинақтаушы сақтандыру шарты бойынша болмаған залалдардың қалыптастырылған резерві немесе егер шарт бұзылған болса, бұзу күніне сатып алу сомасының мөлшері көрсетіледі;</w:t>
      </w:r>
    </w:p>
    <w:p w14:paraId="7DA51306"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5) нысанның T бағанында төленген дивидендтердің жалпы жиынтық сомасы көрсетіледі;</w:t>
      </w:r>
    </w:p>
    <w:p w14:paraId="40D7CD15"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6) нысанның U бағанында тиісті шот бойынша есеп беретін қаржы ұйымы төлеген сыйақылардың (пайыздардың) жалпы жиынтық сомасы көрсетіледі;</w:t>
      </w:r>
    </w:p>
    <w:p w14:paraId="31E37ADE"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7) нысанның V бағанында активті сатудан немесе сатып алудан түскен жалпы жиынтық түсім көрсетіледі;</w:t>
      </w:r>
    </w:p>
    <w:p w14:paraId="7EED6120"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8) нысанның W бағанында басқа кірістің жалпы жиынтық сомасы көрсетіледі;</w:t>
      </w:r>
    </w:p>
    <w:p w14:paraId="73B3F797" w14:textId="77777777" w:rsidR="00BB4C5C" w:rsidRPr="00BB4C5C" w:rsidRDefault="00BB4C5C" w:rsidP="00BB4C5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B4C5C">
        <w:rPr>
          <w:rFonts w:ascii="Times New Roman" w:eastAsia="Times New Roman" w:hAnsi="Times New Roman" w:cs="Times New Roman"/>
          <w:color w:val="000000"/>
          <w:sz w:val="24"/>
          <w:szCs w:val="24"/>
          <w:lang w:eastAsia="ru-RU"/>
        </w:rPr>
        <w:t>9) нысанның S, T, U, V бағандарын толтыру кезінде кірістің бірнеше түрін көрсетуге болады.</w:t>
      </w:r>
    </w:p>
    <w:p w14:paraId="1CE39C7C" w14:textId="77777777" w:rsidR="00552A5E" w:rsidRPr="00BB4C5C" w:rsidRDefault="00552A5E" w:rsidP="00BB4C5C">
      <w:pPr>
        <w:jc w:val="both"/>
        <w:rPr>
          <w:sz w:val="24"/>
          <w:szCs w:val="24"/>
        </w:rPr>
      </w:pPr>
    </w:p>
    <w:sectPr w:rsidR="00552A5E" w:rsidRPr="00BB4C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7BB"/>
    <w:rsid w:val="00552A5E"/>
    <w:rsid w:val="00BB4C5C"/>
    <w:rsid w:val="00F63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4F5E89-B433-4F4E-B2C5-4AE008B9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6507673">
      <w:bodyDiv w:val="1"/>
      <w:marLeft w:val="0"/>
      <w:marRight w:val="0"/>
      <w:marTop w:val="0"/>
      <w:marBottom w:val="0"/>
      <w:divBdr>
        <w:top w:val="none" w:sz="0" w:space="0" w:color="auto"/>
        <w:left w:val="none" w:sz="0" w:space="0" w:color="auto"/>
        <w:bottom w:val="none" w:sz="0" w:space="0" w:color="auto"/>
        <w:right w:val="none" w:sz="0" w:space="0" w:color="auto"/>
      </w:divBdr>
      <w:divsChild>
        <w:div w:id="128208237">
          <w:marLeft w:val="0"/>
          <w:marRight w:val="0"/>
          <w:marTop w:val="0"/>
          <w:marBottom w:val="240"/>
          <w:divBdr>
            <w:top w:val="none" w:sz="0" w:space="0" w:color="auto"/>
            <w:left w:val="none" w:sz="0" w:space="0" w:color="auto"/>
            <w:bottom w:val="none" w:sz="0" w:space="0" w:color="auto"/>
            <w:right w:val="none" w:sz="0" w:space="0" w:color="auto"/>
          </w:divBdr>
        </w:div>
      </w:divsChild>
    </w:div>
    <w:div w:id="2055620260">
      <w:bodyDiv w:val="1"/>
      <w:marLeft w:val="0"/>
      <w:marRight w:val="0"/>
      <w:marTop w:val="0"/>
      <w:marBottom w:val="0"/>
      <w:divBdr>
        <w:top w:val="none" w:sz="0" w:space="0" w:color="auto"/>
        <w:left w:val="none" w:sz="0" w:space="0" w:color="auto"/>
        <w:bottom w:val="none" w:sz="0" w:space="0" w:color="auto"/>
        <w:right w:val="none" w:sz="0" w:space="0" w:color="auto"/>
      </w:divBdr>
      <w:divsChild>
        <w:div w:id="1164928034">
          <w:marLeft w:val="0"/>
          <w:marRight w:val="0"/>
          <w:marTop w:val="0"/>
          <w:marBottom w:val="0"/>
          <w:divBdr>
            <w:top w:val="none" w:sz="0" w:space="0" w:color="auto"/>
            <w:left w:val="none" w:sz="0" w:space="0" w:color="auto"/>
            <w:bottom w:val="none" w:sz="0" w:space="0" w:color="auto"/>
            <w:right w:val="none" w:sz="0" w:space="0" w:color="auto"/>
          </w:divBdr>
        </w:div>
        <w:div w:id="567957140">
          <w:marLeft w:val="0"/>
          <w:marRight w:val="0"/>
          <w:marTop w:val="0"/>
          <w:marBottom w:val="0"/>
          <w:divBdr>
            <w:top w:val="none" w:sz="0" w:space="0" w:color="auto"/>
            <w:left w:val="none" w:sz="0" w:space="0" w:color="auto"/>
            <w:bottom w:val="none" w:sz="0" w:space="0" w:color="auto"/>
            <w:right w:val="none" w:sz="0" w:space="0" w:color="auto"/>
          </w:divBdr>
        </w:div>
        <w:div w:id="132910308">
          <w:marLeft w:val="0"/>
          <w:marRight w:val="0"/>
          <w:marTop w:val="0"/>
          <w:marBottom w:val="0"/>
          <w:divBdr>
            <w:top w:val="none" w:sz="0" w:space="0" w:color="auto"/>
            <w:left w:val="none" w:sz="0" w:space="0" w:color="auto"/>
            <w:bottom w:val="none" w:sz="0" w:space="0" w:color="auto"/>
            <w:right w:val="none" w:sz="0" w:space="0" w:color="auto"/>
          </w:divBdr>
        </w:div>
        <w:div w:id="244384070">
          <w:marLeft w:val="0"/>
          <w:marRight w:val="0"/>
          <w:marTop w:val="0"/>
          <w:marBottom w:val="0"/>
          <w:divBdr>
            <w:top w:val="none" w:sz="0" w:space="0" w:color="auto"/>
            <w:left w:val="none" w:sz="0" w:space="0" w:color="auto"/>
            <w:bottom w:val="none" w:sz="0" w:space="0" w:color="auto"/>
            <w:right w:val="none" w:sz="0" w:space="0" w:color="auto"/>
          </w:divBdr>
        </w:div>
        <w:div w:id="1626230436">
          <w:marLeft w:val="0"/>
          <w:marRight w:val="0"/>
          <w:marTop w:val="0"/>
          <w:marBottom w:val="0"/>
          <w:divBdr>
            <w:top w:val="none" w:sz="0" w:space="0" w:color="auto"/>
            <w:left w:val="none" w:sz="0" w:space="0" w:color="auto"/>
            <w:bottom w:val="none" w:sz="0" w:space="0" w:color="auto"/>
            <w:right w:val="none" w:sz="0" w:space="0" w:color="auto"/>
          </w:divBdr>
        </w:div>
        <w:div w:id="382561478">
          <w:marLeft w:val="0"/>
          <w:marRight w:val="0"/>
          <w:marTop w:val="0"/>
          <w:marBottom w:val="0"/>
          <w:divBdr>
            <w:top w:val="none" w:sz="0" w:space="0" w:color="auto"/>
            <w:left w:val="none" w:sz="0" w:space="0" w:color="auto"/>
            <w:bottom w:val="none" w:sz="0" w:space="0" w:color="auto"/>
            <w:right w:val="none" w:sz="0" w:space="0" w:color="auto"/>
          </w:divBdr>
        </w:div>
        <w:div w:id="6056874">
          <w:marLeft w:val="0"/>
          <w:marRight w:val="0"/>
          <w:marTop w:val="0"/>
          <w:marBottom w:val="0"/>
          <w:divBdr>
            <w:top w:val="none" w:sz="0" w:space="0" w:color="auto"/>
            <w:left w:val="none" w:sz="0" w:space="0" w:color="auto"/>
            <w:bottom w:val="none" w:sz="0" w:space="0" w:color="auto"/>
            <w:right w:val="none" w:sz="0" w:space="0" w:color="auto"/>
          </w:divBdr>
        </w:div>
        <w:div w:id="1980068023">
          <w:marLeft w:val="0"/>
          <w:marRight w:val="0"/>
          <w:marTop w:val="0"/>
          <w:marBottom w:val="0"/>
          <w:divBdr>
            <w:top w:val="none" w:sz="0" w:space="0" w:color="auto"/>
            <w:left w:val="none" w:sz="0" w:space="0" w:color="auto"/>
            <w:bottom w:val="none" w:sz="0" w:space="0" w:color="auto"/>
            <w:right w:val="none" w:sz="0" w:space="0" w:color="auto"/>
          </w:divBdr>
        </w:div>
        <w:div w:id="1168516652">
          <w:marLeft w:val="0"/>
          <w:marRight w:val="0"/>
          <w:marTop w:val="0"/>
          <w:marBottom w:val="0"/>
          <w:divBdr>
            <w:top w:val="none" w:sz="0" w:space="0" w:color="auto"/>
            <w:left w:val="none" w:sz="0" w:space="0" w:color="auto"/>
            <w:bottom w:val="none" w:sz="0" w:space="0" w:color="auto"/>
            <w:right w:val="none" w:sz="0" w:space="0" w:color="auto"/>
          </w:divBdr>
        </w:div>
        <w:div w:id="1813793403">
          <w:marLeft w:val="0"/>
          <w:marRight w:val="0"/>
          <w:marTop w:val="0"/>
          <w:marBottom w:val="0"/>
          <w:divBdr>
            <w:top w:val="none" w:sz="0" w:space="0" w:color="auto"/>
            <w:left w:val="none" w:sz="0" w:space="0" w:color="auto"/>
            <w:bottom w:val="none" w:sz="0" w:space="0" w:color="auto"/>
            <w:right w:val="none" w:sz="0" w:space="0" w:color="auto"/>
          </w:divBdr>
        </w:div>
        <w:div w:id="1619994583">
          <w:marLeft w:val="0"/>
          <w:marRight w:val="0"/>
          <w:marTop w:val="0"/>
          <w:marBottom w:val="0"/>
          <w:divBdr>
            <w:top w:val="none" w:sz="0" w:space="0" w:color="auto"/>
            <w:left w:val="none" w:sz="0" w:space="0" w:color="auto"/>
            <w:bottom w:val="none" w:sz="0" w:space="0" w:color="auto"/>
            <w:right w:val="none" w:sz="0" w:space="0" w:color="auto"/>
          </w:divBdr>
        </w:div>
        <w:div w:id="1703483210">
          <w:marLeft w:val="0"/>
          <w:marRight w:val="0"/>
          <w:marTop w:val="0"/>
          <w:marBottom w:val="0"/>
          <w:divBdr>
            <w:top w:val="none" w:sz="0" w:space="0" w:color="auto"/>
            <w:left w:val="none" w:sz="0" w:space="0" w:color="auto"/>
            <w:bottom w:val="none" w:sz="0" w:space="0" w:color="auto"/>
            <w:right w:val="none" w:sz="0" w:space="0" w:color="auto"/>
          </w:divBdr>
        </w:div>
        <w:div w:id="72746200">
          <w:marLeft w:val="0"/>
          <w:marRight w:val="0"/>
          <w:marTop w:val="0"/>
          <w:marBottom w:val="0"/>
          <w:divBdr>
            <w:top w:val="none" w:sz="0" w:space="0" w:color="auto"/>
            <w:left w:val="none" w:sz="0" w:space="0" w:color="auto"/>
            <w:bottom w:val="none" w:sz="0" w:space="0" w:color="auto"/>
            <w:right w:val="none" w:sz="0" w:space="0" w:color="auto"/>
          </w:divBdr>
        </w:div>
        <w:div w:id="1640452417">
          <w:marLeft w:val="0"/>
          <w:marRight w:val="0"/>
          <w:marTop w:val="0"/>
          <w:marBottom w:val="0"/>
          <w:divBdr>
            <w:top w:val="none" w:sz="0" w:space="0" w:color="auto"/>
            <w:left w:val="none" w:sz="0" w:space="0" w:color="auto"/>
            <w:bottom w:val="none" w:sz="0" w:space="0" w:color="auto"/>
            <w:right w:val="none" w:sz="0" w:space="0" w:color="auto"/>
          </w:divBdr>
        </w:div>
        <w:div w:id="1139230396">
          <w:marLeft w:val="0"/>
          <w:marRight w:val="0"/>
          <w:marTop w:val="0"/>
          <w:marBottom w:val="0"/>
          <w:divBdr>
            <w:top w:val="none" w:sz="0" w:space="0" w:color="auto"/>
            <w:left w:val="none" w:sz="0" w:space="0" w:color="auto"/>
            <w:bottom w:val="none" w:sz="0" w:space="0" w:color="auto"/>
            <w:right w:val="none" w:sz="0" w:space="0" w:color="auto"/>
          </w:divBdr>
        </w:div>
        <w:div w:id="941841967">
          <w:marLeft w:val="0"/>
          <w:marRight w:val="0"/>
          <w:marTop w:val="0"/>
          <w:marBottom w:val="0"/>
          <w:divBdr>
            <w:top w:val="none" w:sz="0" w:space="0" w:color="auto"/>
            <w:left w:val="none" w:sz="0" w:space="0" w:color="auto"/>
            <w:bottom w:val="none" w:sz="0" w:space="0" w:color="auto"/>
            <w:right w:val="none" w:sz="0" w:space="0" w:color="auto"/>
          </w:divBdr>
        </w:div>
        <w:div w:id="1601332818">
          <w:marLeft w:val="0"/>
          <w:marRight w:val="0"/>
          <w:marTop w:val="0"/>
          <w:marBottom w:val="0"/>
          <w:divBdr>
            <w:top w:val="none" w:sz="0" w:space="0" w:color="auto"/>
            <w:left w:val="none" w:sz="0" w:space="0" w:color="auto"/>
            <w:bottom w:val="none" w:sz="0" w:space="0" w:color="auto"/>
            <w:right w:val="none" w:sz="0" w:space="0" w:color="auto"/>
          </w:divBdr>
        </w:div>
        <w:div w:id="134417236">
          <w:marLeft w:val="0"/>
          <w:marRight w:val="0"/>
          <w:marTop w:val="0"/>
          <w:marBottom w:val="0"/>
          <w:divBdr>
            <w:top w:val="none" w:sz="0" w:space="0" w:color="auto"/>
            <w:left w:val="none" w:sz="0" w:space="0" w:color="auto"/>
            <w:bottom w:val="none" w:sz="0" w:space="0" w:color="auto"/>
            <w:right w:val="none" w:sz="0" w:space="0" w:color="auto"/>
          </w:divBdr>
        </w:div>
        <w:div w:id="502671561">
          <w:marLeft w:val="0"/>
          <w:marRight w:val="0"/>
          <w:marTop w:val="0"/>
          <w:marBottom w:val="0"/>
          <w:divBdr>
            <w:top w:val="none" w:sz="0" w:space="0" w:color="auto"/>
            <w:left w:val="none" w:sz="0" w:space="0" w:color="auto"/>
            <w:bottom w:val="none" w:sz="0" w:space="0" w:color="auto"/>
            <w:right w:val="none" w:sz="0" w:space="0" w:color="auto"/>
          </w:divBdr>
        </w:div>
        <w:div w:id="1274090227">
          <w:marLeft w:val="0"/>
          <w:marRight w:val="0"/>
          <w:marTop w:val="0"/>
          <w:marBottom w:val="0"/>
          <w:divBdr>
            <w:top w:val="none" w:sz="0" w:space="0" w:color="auto"/>
            <w:left w:val="none" w:sz="0" w:space="0" w:color="auto"/>
            <w:bottom w:val="none" w:sz="0" w:space="0" w:color="auto"/>
            <w:right w:val="none" w:sz="0" w:space="0" w:color="auto"/>
          </w:divBdr>
        </w:div>
        <w:div w:id="284389635">
          <w:marLeft w:val="0"/>
          <w:marRight w:val="0"/>
          <w:marTop w:val="0"/>
          <w:marBottom w:val="0"/>
          <w:divBdr>
            <w:top w:val="none" w:sz="0" w:space="0" w:color="auto"/>
            <w:left w:val="none" w:sz="0" w:space="0" w:color="auto"/>
            <w:bottom w:val="none" w:sz="0" w:space="0" w:color="auto"/>
            <w:right w:val="none" w:sz="0" w:space="0" w:color="auto"/>
          </w:divBdr>
        </w:div>
        <w:div w:id="506333967">
          <w:marLeft w:val="0"/>
          <w:marRight w:val="0"/>
          <w:marTop w:val="0"/>
          <w:marBottom w:val="0"/>
          <w:divBdr>
            <w:top w:val="none" w:sz="0" w:space="0" w:color="auto"/>
            <w:left w:val="none" w:sz="0" w:space="0" w:color="auto"/>
            <w:bottom w:val="none" w:sz="0" w:space="0" w:color="auto"/>
            <w:right w:val="none" w:sz="0" w:space="0" w:color="auto"/>
          </w:divBdr>
        </w:div>
        <w:div w:id="1411927922">
          <w:marLeft w:val="0"/>
          <w:marRight w:val="0"/>
          <w:marTop w:val="0"/>
          <w:marBottom w:val="0"/>
          <w:divBdr>
            <w:top w:val="none" w:sz="0" w:space="0" w:color="auto"/>
            <w:left w:val="none" w:sz="0" w:space="0" w:color="auto"/>
            <w:bottom w:val="none" w:sz="0" w:space="0" w:color="auto"/>
            <w:right w:val="none" w:sz="0" w:space="0" w:color="auto"/>
          </w:divBdr>
        </w:div>
        <w:div w:id="1930000385">
          <w:marLeft w:val="0"/>
          <w:marRight w:val="0"/>
          <w:marTop w:val="0"/>
          <w:marBottom w:val="0"/>
          <w:divBdr>
            <w:top w:val="none" w:sz="0" w:space="0" w:color="auto"/>
            <w:left w:val="none" w:sz="0" w:space="0" w:color="auto"/>
            <w:bottom w:val="none" w:sz="0" w:space="0" w:color="auto"/>
            <w:right w:val="none" w:sz="0" w:space="0" w:color="auto"/>
          </w:divBdr>
        </w:div>
        <w:div w:id="1944268006">
          <w:marLeft w:val="0"/>
          <w:marRight w:val="0"/>
          <w:marTop w:val="0"/>
          <w:marBottom w:val="0"/>
          <w:divBdr>
            <w:top w:val="none" w:sz="0" w:space="0" w:color="auto"/>
            <w:left w:val="none" w:sz="0" w:space="0" w:color="auto"/>
            <w:bottom w:val="none" w:sz="0" w:space="0" w:color="auto"/>
            <w:right w:val="none" w:sz="0" w:space="0" w:color="auto"/>
          </w:divBdr>
        </w:div>
        <w:div w:id="4594027">
          <w:marLeft w:val="0"/>
          <w:marRight w:val="0"/>
          <w:marTop w:val="0"/>
          <w:marBottom w:val="240"/>
          <w:divBdr>
            <w:top w:val="none" w:sz="0" w:space="0" w:color="auto"/>
            <w:left w:val="none" w:sz="0" w:space="0" w:color="auto"/>
            <w:bottom w:val="none" w:sz="0" w:space="0" w:color="auto"/>
            <w:right w:val="none" w:sz="0" w:space="0" w:color="auto"/>
          </w:divBdr>
        </w:div>
        <w:div w:id="631599311">
          <w:marLeft w:val="0"/>
          <w:marRight w:val="0"/>
          <w:marTop w:val="0"/>
          <w:marBottom w:val="240"/>
          <w:divBdr>
            <w:top w:val="none" w:sz="0" w:space="0" w:color="auto"/>
            <w:left w:val="none" w:sz="0" w:space="0" w:color="auto"/>
            <w:bottom w:val="none" w:sz="0" w:space="0" w:color="auto"/>
            <w:right w:val="none" w:sz="0" w:space="0" w:color="auto"/>
          </w:divBdr>
        </w:div>
        <w:div w:id="1687093822">
          <w:marLeft w:val="0"/>
          <w:marRight w:val="0"/>
          <w:marTop w:val="480"/>
          <w:marBottom w:val="240"/>
          <w:divBdr>
            <w:top w:val="none" w:sz="0" w:space="0" w:color="auto"/>
            <w:left w:val="none" w:sz="0" w:space="0" w:color="auto"/>
            <w:bottom w:val="none" w:sz="0" w:space="0" w:color="auto"/>
            <w:right w:val="none" w:sz="0" w:space="0" w:color="auto"/>
          </w:divBdr>
        </w:div>
        <w:div w:id="2103992531">
          <w:marLeft w:val="0"/>
          <w:marRight w:val="0"/>
          <w:marTop w:val="0"/>
          <w:marBottom w:val="0"/>
          <w:divBdr>
            <w:top w:val="none" w:sz="0" w:space="0" w:color="auto"/>
            <w:left w:val="none" w:sz="0" w:space="0" w:color="auto"/>
            <w:bottom w:val="none" w:sz="0" w:space="0" w:color="auto"/>
            <w:right w:val="none" w:sz="0" w:space="0" w:color="auto"/>
          </w:divBdr>
          <w:divsChild>
            <w:div w:id="2106529922">
              <w:marLeft w:val="0"/>
              <w:marRight w:val="0"/>
              <w:marTop w:val="0"/>
              <w:marBottom w:val="0"/>
              <w:divBdr>
                <w:top w:val="none" w:sz="0" w:space="0" w:color="auto"/>
                <w:left w:val="none" w:sz="0" w:space="0" w:color="auto"/>
                <w:bottom w:val="none" w:sz="0" w:space="0" w:color="auto"/>
                <w:right w:val="none" w:sz="0" w:space="0" w:color="auto"/>
              </w:divBdr>
            </w:div>
            <w:div w:id="850492472">
              <w:marLeft w:val="0"/>
              <w:marRight w:val="0"/>
              <w:marTop w:val="0"/>
              <w:marBottom w:val="0"/>
              <w:divBdr>
                <w:top w:val="none" w:sz="0" w:space="0" w:color="auto"/>
                <w:left w:val="none" w:sz="0" w:space="0" w:color="auto"/>
                <w:bottom w:val="none" w:sz="0" w:space="0" w:color="auto"/>
                <w:right w:val="none" w:sz="0" w:space="0" w:color="auto"/>
              </w:divBdr>
              <w:divsChild>
                <w:div w:id="1295600236">
                  <w:marLeft w:val="0"/>
                  <w:marRight w:val="0"/>
                  <w:marTop w:val="0"/>
                  <w:marBottom w:val="0"/>
                  <w:divBdr>
                    <w:top w:val="none" w:sz="0" w:space="0" w:color="auto"/>
                    <w:left w:val="none" w:sz="0" w:space="0" w:color="auto"/>
                    <w:bottom w:val="none" w:sz="0" w:space="0" w:color="auto"/>
                    <w:right w:val="none" w:sz="0" w:space="0" w:color="auto"/>
                  </w:divBdr>
                </w:div>
              </w:divsChild>
            </w:div>
            <w:div w:id="88434511">
              <w:marLeft w:val="0"/>
              <w:marRight w:val="0"/>
              <w:marTop w:val="0"/>
              <w:marBottom w:val="0"/>
              <w:divBdr>
                <w:top w:val="none" w:sz="0" w:space="0" w:color="auto"/>
                <w:left w:val="none" w:sz="0" w:space="0" w:color="auto"/>
                <w:bottom w:val="none" w:sz="0" w:space="0" w:color="auto"/>
                <w:right w:val="none" w:sz="0" w:space="0" w:color="auto"/>
              </w:divBdr>
              <w:divsChild>
                <w:div w:id="211768239">
                  <w:marLeft w:val="0"/>
                  <w:marRight w:val="0"/>
                  <w:marTop w:val="0"/>
                  <w:marBottom w:val="0"/>
                  <w:divBdr>
                    <w:top w:val="none" w:sz="0" w:space="0" w:color="auto"/>
                    <w:left w:val="none" w:sz="0" w:space="0" w:color="auto"/>
                    <w:bottom w:val="none" w:sz="0" w:space="0" w:color="auto"/>
                    <w:right w:val="none" w:sz="0" w:space="0" w:color="auto"/>
                  </w:divBdr>
                </w:div>
              </w:divsChild>
            </w:div>
            <w:div w:id="1528522861">
              <w:marLeft w:val="0"/>
              <w:marRight w:val="0"/>
              <w:marTop w:val="0"/>
              <w:marBottom w:val="0"/>
              <w:divBdr>
                <w:top w:val="none" w:sz="0" w:space="0" w:color="auto"/>
                <w:left w:val="none" w:sz="0" w:space="0" w:color="auto"/>
                <w:bottom w:val="none" w:sz="0" w:space="0" w:color="auto"/>
                <w:right w:val="none" w:sz="0" w:space="0" w:color="auto"/>
              </w:divBdr>
              <w:divsChild>
                <w:div w:id="1959603849">
                  <w:marLeft w:val="0"/>
                  <w:marRight w:val="0"/>
                  <w:marTop w:val="0"/>
                  <w:marBottom w:val="0"/>
                  <w:divBdr>
                    <w:top w:val="none" w:sz="0" w:space="0" w:color="auto"/>
                    <w:left w:val="none" w:sz="0" w:space="0" w:color="auto"/>
                    <w:bottom w:val="none" w:sz="0" w:space="0" w:color="auto"/>
                    <w:right w:val="none" w:sz="0" w:space="0" w:color="auto"/>
                  </w:divBdr>
                </w:div>
              </w:divsChild>
            </w:div>
            <w:div w:id="1223905062">
              <w:marLeft w:val="0"/>
              <w:marRight w:val="0"/>
              <w:marTop w:val="0"/>
              <w:marBottom w:val="0"/>
              <w:divBdr>
                <w:top w:val="none" w:sz="0" w:space="0" w:color="auto"/>
                <w:left w:val="none" w:sz="0" w:space="0" w:color="auto"/>
                <w:bottom w:val="none" w:sz="0" w:space="0" w:color="auto"/>
                <w:right w:val="none" w:sz="0" w:space="0" w:color="auto"/>
              </w:divBdr>
              <w:divsChild>
                <w:div w:id="1034421347">
                  <w:marLeft w:val="0"/>
                  <w:marRight w:val="0"/>
                  <w:marTop w:val="0"/>
                  <w:marBottom w:val="0"/>
                  <w:divBdr>
                    <w:top w:val="none" w:sz="0" w:space="0" w:color="auto"/>
                    <w:left w:val="none" w:sz="0" w:space="0" w:color="auto"/>
                    <w:bottom w:val="none" w:sz="0" w:space="0" w:color="auto"/>
                    <w:right w:val="none" w:sz="0" w:space="0" w:color="auto"/>
                  </w:divBdr>
                </w:div>
              </w:divsChild>
            </w:div>
            <w:div w:id="147791205">
              <w:marLeft w:val="0"/>
              <w:marRight w:val="0"/>
              <w:marTop w:val="0"/>
              <w:marBottom w:val="0"/>
              <w:divBdr>
                <w:top w:val="none" w:sz="0" w:space="0" w:color="auto"/>
                <w:left w:val="none" w:sz="0" w:space="0" w:color="auto"/>
                <w:bottom w:val="none" w:sz="0" w:space="0" w:color="auto"/>
                <w:right w:val="none" w:sz="0" w:space="0" w:color="auto"/>
              </w:divBdr>
              <w:divsChild>
                <w:div w:id="234096794">
                  <w:marLeft w:val="0"/>
                  <w:marRight w:val="0"/>
                  <w:marTop w:val="0"/>
                  <w:marBottom w:val="0"/>
                  <w:divBdr>
                    <w:top w:val="none" w:sz="0" w:space="0" w:color="auto"/>
                    <w:left w:val="none" w:sz="0" w:space="0" w:color="auto"/>
                    <w:bottom w:val="none" w:sz="0" w:space="0" w:color="auto"/>
                    <w:right w:val="none" w:sz="0" w:space="0" w:color="auto"/>
                  </w:divBdr>
                </w:div>
              </w:divsChild>
            </w:div>
            <w:div w:id="656760251">
              <w:marLeft w:val="0"/>
              <w:marRight w:val="0"/>
              <w:marTop w:val="0"/>
              <w:marBottom w:val="0"/>
              <w:divBdr>
                <w:top w:val="none" w:sz="0" w:space="0" w:color="auto"/>
                <w:left w:val="none" w:sz="0" w:space="0" w:color="auto"/>
                <w:bottom w:val="none" w:sz="0" w:space="0" w:color="auto"/>
                <w:right w:val="none" w:sz="0" w:space="0" w:color="auto"/>
              </w:divBdr>
              <w:divsChild>
                <w:div w:id="1171720500">
                  <w:marLeft w:val="0"/>
                  <w:marRight w:val="0"/>
                  <w:marTop w:val="0"/>
                  <w:marBottom w:val="0"/>
                  <w:divBdr>
                    <w:top w:val="none" w:sz="0" w:space="0" w:color="auto"/>
                    <w:left w:val="none" w:sz="0" w:space="0" w:color="auto"/>
                    <w:bottom w:val="none" w:sz="0" w:space="0" w:color="auto"/>
                    <w:right w:val="none" w:sz="0" w:space="0" w:color="auto"/>
                  </w:divBdr>
                </w:div>
              </w:divsChild>
            </w:div>
            <w:div w:id="412240531">
              <w:marLeft w:val="0"/>
              <w:marRight w:val="0"/>
              <w:marTop w:val="0"/>
              <w:marBottom w:val="0"/>
              <w:divBdr>
                <w:top w:val="none" w:sz="0" w:space="0" w:color="auto"/>
                <w:left w:val="none" w:sz="0" w:space="0" w:color="auto"/>
                <w:bottom w:val="none" w:sz="0" w:space="0" w:color="auto"/>
                <w:right w:val="none" w:sz="0" w:space="0" w:color="auto"/>
              </w:divBdr>
              <w:divsChild>
                <w:div w:id="100224309">
                  <w:marLeft w:val="0"/>
                  <w:marRight w:val="0"/>
                  <w:marTop w:val="0"/>
                  <w:marBottom w:val="0"/>
                  <w:divBdr>
                    <w:top w:val="none" w:sz="0" w:space="0" w:color="auto"/>
                    <w:left w:val="none" w:sz="0" w:space="0" w:color="auto"/>
                    <w:bottom w:val="none" w:sz="0" w:space="0" w:color="auto"/>
                    <w:right w:val="none" w:sz="0" w:space="0" w:color="auto"/>
                  </w:divBdr>
                </w:div>
                <w:div w:id="2143188162">
                  <w:marLeft w:val="0"/>
                  <w:marRight w:val="0"/>
                  <w:marTop w:val="0"/>
                  <w:marBottom w:val="0"/>
                  <w:divBdr>
                    <w:top w:val="none" w:sz="0" w:space="0" w:color="auto"/>
                    <w:left w:val="none" w:sz="0" w:space="0" w:color="auto"/>
                    <w:bottom w:val="none" w:sz="0" w:space="0" w:color="auto"/>
                    <w:right w:val="none" w:sz="0" w:space="0" w:color="auto"/>
                  </w:divBdr>
                </w:div>
                <w:div w:id="1467507381">
                  <w:marLeft w:val="0"/>
                  <w:marRight w:val="0"/>
                  <w:marTop w:val="0"/>
                  <w:marBottom w:val="0"/>
                  <w:divBdr>
                    <w:top w:val="none" w:sz="0" w:space="0" w:color="auto"/>
                    <w:left w:val="none" w:sz="0" w:space="0" w:color="auto"/>
                    <w:bottom w:val="none" w:sz="0" w:space="0" w:color="auto"/>
                    <w:right w:val="none" w:sz="0" w:space="0" w:color="auto"/>
                  </w:divBdr>
                </w:div>
                <w:div w:id="1530144696">
                  <w:marLeft w:val="0"/>
                  <w:marRight w:val="0"/>
                  <w:marTop w:val="0"/>
                  <w:marBottom w:val="0"/>
                  <w:divBdr>
                    <w:top w:val="none" w:sz="0" w:space="0" w:color="auto"/>
                    <w:left w:val="none" w:sz="0" w:space="0" w:color="auto"/>
                    <w:bottom w:val="none" w:sz="0" w:space="0" w:color="auto"/>
                    <w:right w:val="none" w:sz="0" w:space="0" w:color="auto"/>
                  </w:divBdr>
                </w:div>
                <w:div w:id="166705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79085">
          <w:marLeft w:val="0"/>
          <w:marRight w:val="0"/>
          <w:marTop w:val="0"/>
          <w:marBottom w:val="0"/>
          <w:divBdr>
            <w:top w:val="none" w:sz="0" w:space="0" w:color="auto"/>
            <w:left w:val="none" w:sz="0" w:space="0" w:color="auto"/>
            <w:bottom w:val="none" w:sz="0" w:space="0" w:color="auto"/>
            <w:right w:val="none" w:sz="0" w:space="0" w:color="auto"/>
          </w:divBdr>
          <w:divsChild>
            <w:div w:id="746152066">
              <w:marLeft w:val="0"/>
              <w:marRight w:val="0"/>
              <w:marTop w:val="0"/>
              <w:marBottom w:val="0"/>
              <w:divBdr>
                <w:top w:val="none" w:sz="0" w:space="0" w:color="auto"/>
                <w:left w:val="none" w:sz="0" w:space="0" w:color="auto"/>
                <w:bottom w:val="none" w:sz="0" w:space="0" w:color="auto"/>
                <w:right w:val="none" w:sz="0" w:space="0" w:color="auto"/>
              </w:divBdr>
            </w:div>
          </w:divsChild>
        </w:div>
        <w:div w:id="82994189">
          <w:marLeft w:val="0"/>
          <w:marRight w:val="0"/>
          <w:marTop w:val="0"/>
          <w:marBottom w:val="0"/>
          <w:divBdr>
            <w:top w:val="none" w:sz="0" w:space="0" w:color="auto"/>
            <w:left w:val="none" w:sz="0" w:space="0" w:color="auto"/>
            <w:bottom w:val="none" w:sz="0" w:space="0" w:color="auto"/>
            <w:right w:val="none" w:sz="0" w:space="0" w:color="auto"/>
          </w:divBdr>
          <w:divsChild>
            <w:div w:id="894854004">
              <w:marLeft w:val="0"/>
              <w:marRight w:val="0"/>
              <w:marTop w:val="0"/>
              <w:marBottom w:val="0"/>
              <w:divBdr>
                <w:top w:val="none" w:sz="0" w:space="0" w:color="auto"/>
                <w:left w:val="none" w:sz="0" w:space="0" w:color="auto"/>
                <w:bottom w:val="none" w:sz="0" w:space="0" w:color="auto"/>
                <w:right w:val="none" w:sz="0" w:space="0" w:color="auto"/>
              </w:divBdr>
            </w:div>
          </w:divsChild>
        </w:div>
        <w:div w:id="1862164552">
          <w:marLeft w:val="0"/>
          <w:marRight w:val="0"/>
          <w:marTop w:val="0"/>
          <w:marBottom w:val="0"/>
          <w:divBdr>
            <w:top w:val="none" w:sz="0" w:space="0" w:color="auto"/>
            <w:left w:val="none" w:sz="0" w:space="0" w:color="auto"/>
            <w:bottom w:val="none" w:sz="0" w:space="0" w:color="auto"/>
            <w:right w:val="none" w:sz="0" w:space="0" w:color="auto"/>
          </w:divBdr>
          <w:divsChild>
            <w:div w:id="1833524433">
              <w:marLeft w:val="0"/>
              <w:marRight w:val="0"/>
              <w:marTop w:val="0"/>
              <w:marBottom w:val="0"/>
              <w:divBdr>
                <w:top w:val="none" w:sz="0" w:space="0" w:color="auto"/>
                <w:left w:val="none" w:sz="0" w:space="0" w:color="auto"/>
                <w:bottom w:val="none" w:sz="0" w:space="0" w:color="auto"/>
                <w:right w:val="none" w:sz="0" w:space="0" w:color="auto"/>
              </w:divBdr>
            </w:div>
          </w:divsChild>
        </w:div>
        <w:div w:id="801309862">
          <w:marLeft w:val="0"/>
          <w:marRight w:val="0"/>
          <w:marTop w:val="0"/>
          <w:marBottom w:val="0"/>
          <w:divBdr>
            <w:top w:val="none" w:sz="0" w:space="0" w:color="auto"/>
            <w:left w:val="none" w:sz="0" w:space="0" w:color="auto"/>
            <w:bottom w:val="none" w:sz="0" w:space="0" w:color="auto"/>
            <w:right w:val="none" w:sz="0" w:space="0" w:color="auto"/>
          </w:divBdr>
          <w:divsChild>
            <w:div w:id="1528367913">
              <w:marLeft w:val="0"/>
              <w:marRight w:val="0"/>
              <w:marTop w:val="0"/>
              <w:marBottom w:val="0"/>
              <w:divBdr>
                <w:top w:val="none" w:sz="0" w:space="0" w:color="auto"/>
                <w:left w:val="none" w:sz="0" w:space="0" w:color="auto"/>
                <w:bottom w:val="none" w:sz="0" w:space="0" w:color="auto"/>
                <w:right w:val="none" w:sz="0" w:space="0" w:color="auto"/>
              </w:divBdr>
            </w:div>
          </w:divsChild>
        </w:div>
        <w:div w:id="1847477781">
          <w:marLeft w:val="0"/>
          <w:marRight w:val="0"/>
          <w:marTop w:val="480"/>
          <w:marBottom w:val="240"/>
          <w:divBdr>
            <w:top w:val="none" w:sz="0" w:space="0" w:color="auto"/>
            <w:left w:val="none" w:sz="0" w:space="0" w:color="auto"/>
            <w:bottom w:val="none" w:sz="0" w:space="0" w:color="auto"/>
            <w:right w:val="none" w:sz="0" w:space="0" w:color="auto"/>
          </w:divBdr>
        </w:div>
        <w:div w:id="1255744127">
          <w:marLeft w:val="0"/>
          <w:marRight w:val="0"/>
          <w:marTop w:val="0"/>
          <w:marBottom w:val="0"/>
          <w:divBdr>
            <w:top w:val="none" w:sz="0" w:space="0" w:color="auto"/>
            <w:left w:val="none" w:sz="0" w:space="0" w:color="auto"/>
            <w:bottom w:val="none" w:sz="0" w:space="0" w:color="auto"/>
            <w:right w:val="none" w:sz="0" w:space="0" w:color="auto"/>
          </w:divBdr>
          <w:divsChild>
            <w:div w:id="665942721">
              <w:marLeft w:val="0"/>
              <w:marRight w:val="0"/>
              <w:marTop w:val="0"/>
              <w:marBottom w:val="0"/>
              <w:divBdr>
                <w:top w:val="none" w:sz="0" w:space="0" w:color="auto"/>
                <w:left w:val="none" w:sz="0" w:space="0" w:color="auto"/>
                <w:bottom w:val="none" w:sz="0" w:space="0" w:color="auto"/>
                <w:right w:val="none" w:sz="0" w:space="0" w:color="auto"/>
              </w:divBdr>
            </w:div>
            <w:div w:id="1155533364">
              <w:marLeft w:val="0"/>
              <w:marRight w:val="0"/>
              <w:marTop w:val="0"/>
              <w:marBottom w:val="0"/>
              <w:divBdr>
                <w:top w:val="none" w:sz="0" w:space="0" w:color="auto"/>
                <w:left w:val="none" w:sz="0" w:space="0" w:color="auto"/>
                <w:bottom w:val="none" w:sz="0" w:space="0" w:color="auto"/>
                <w:right w:val="none" w:sz="0" w:space="0" w:color="auto"/>
              </w:divBdr>
              <w:divsChild>
                <w:div w:id="1708723472">
                  <w:marLeft w:val="0"/>
                  <w:marRight w:val="0"/>
                  <w:marTop w:val="0"/>
                  <w:marBottom w:val="0"/>
                  <w:divBdr>
                    <w:top w:val="none" w:sz="0" w:space="0" w:color="auto"/>
                    <w:left w:val="none" w:sz="0" w:space="0" w:color="auto"/>
                    <w:bottom w:val="none" w:sz="0" w:space="0" w:color="auto"/>
                    <w:right w:val="none" w:sz="0" w:space="0" w:color="auto"/>
                  </w:divBdr>
                </w:div>
                <w:div w:id="551766817">
                  <w:marLeft w:val="0"/>
                  <w:marRight w:val="0"/>
                  <w:marTop w:val="0"/>
                  <w:marBottom w:val="0"/>
                  <w:divBdr>
                    <w:top w:val="none" w:sz="0" w:space="0" w:color="auto"/>
                    <w:left w:val="none" w:sz="0" w:space="0" w:color="auto"/>
                    <w:bottom w:val="none" w:sz="0" w:space="0" w:color="auto"/>
                    <w:right w:val="none" w:sz="0" w:space="0" w:color="auto"/>
                  </w:divBdr>
                </w:div>
                <w:div w:id="1262451568">
                  <w:marLeft w:val="0"/>
                  <w:marRight w:val="0"/>
                  <w:marTop w:val="0"/>
                  <w:marBottom w:val="0"/>
                  <w:divBdr>
                    <w:top w:val="none" w:sz="0" w:space="0" w:color="auto"/>
                    <w:left w:val="none" w:sz="0" w:space="0" w:color="auto"/>
                    <w:bottom w:val="none" w:sz="0" w:space="0" w:color="auto"/>
                    <w:right w:val="none" w:sz="0" w:space="0" w:color="auto"/>
                  </w:divBdr>
                </w:div>
                <w:div w:id="592934118">
                  <w:marLeft w:val="0"/>
                  <w:marRight w:val="0"/>
                  <w:marTop w:val="0"/>
                  <w:marBottom w:val="0"/>
                  <w:divBdr>
                    <w:top w:val="none" w:sz="0" w:space="0" w:color="auto"/>
                    <w:left w:val="none" w:sz="0" w:space="0" w:color="auto"/>
                    <w:bottom w:val="none" w:sz="0" w:space="0" w:color="auto"/>
                    <w:right w:val="none" w:sz="0" w:space="0" w:color="auto"/>
                  </w:divBdr>
                </w:div>
              </w:divsChild>
            </w:div>
            <w:div w:id="2106228188">
              <w:marLeft w:val="0"/>
              <w:marRight w:val="0"/>
              <w:marTop w:val="0"/>
              <w:marBottom w:val="0"/>
              <w:divBdr>
                <w:top w:val="none" w:sz="0" w:space="0" w:color="auto"/>
                <w:left w:val="none" w:sz="0" w:space="0" w:color="auto"/>
                <w:bottom w:val="none" w:sz="0" w:space="0" w:color="auto"/>
                <w:right w:val="none" w:sz="0" w:space="0" w:color="auto"/>
              </w:divBdr>
              <w:divsChild>
                <w:div w:id="3212235">
                  <w:marLeft w:val="0"/>
                  <w:marRight w:val="0"/>
                  <w:marTop w:val="0"/>
                  <w:marBottom w:val="0"/>
                  <w:divBdr>
                    <w:top w:val="none" w:sz="0" w:space="0" w:color="auto"/>
                    <w:left w:val="none" w:sz="0" w:space="0" w:color="auto"/>
                    <w:bottom w:val="none" w:sz="0" w:space="0" w:color="auto"/>
                    <w:right w:val="none" w:sz="0" w:space="0" w:color="auto"/>
                  </w:divBdr>
                </w:div>
                <w:div w:id="403575222">
                  <w:marLeft w:val="0"/>
                  <w:marRight w:val="0"/>
                  <w:marTop w:val="0"/>
                  <w:marBottom w:val="0"/>
                  <w:divBdr>
                    <w:top w:val="none" w:sz="0" w:space="0" w:color="auto"/>
                    <w:left w:val="none" w:sz="0" w:space="0" w:color="auto"/>
                    <w:bottom w:val="none" w:sz="0" w:space="0" w:color="auto"/>
                    <w:right w:val="none" w:sz="0" w:space="0" w:color="auto"/>
                  </w:divBdr>
                </w:div>
              </w:divsChild>
            </w:div>
            <w:div w:id="112291803">
              <w:marLeft w:val="0"/>
              <w:marRight w:val="0"/>
              <w:marTop w:val="0"/>
              <w:marBottom w:val="0"/>
              <w:divBdr>
                <w:top w:val="none" w:sz="0" w:space="0" w:color="auto"/>
                <w:left w:val="none" w:sz="0" w:space="0" w:color="auto"/>
                <w:bottom w:val="none" w:sz="0" w:space="0" w:color="auto"/>
                <w:right w:val="none" w:sz="0" w:space="0" w:color="auto"/>
              </w:divBdr>
              <w:divsChild>
                <w:div w:id="30737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740023">
          <w:marLeft w:val="0"/>
          <w:marRight w:val="0"/>
          <w:marTop w:val="0"/>
          <w:marBottom w:val="0"/>
          <w:divBdr>
            <w:top w:val="none" w:sz="0" w:space="0" w:color="auto"/>
            <w:left w:val="none" w:sz="0" w:space="0" w:color="auto"/>
            <w:bottom w:val="none" w:sz="0" w:space="0" w:color="auto"/>
            <w:right w:val="none" w:sz="0" w:space="0" w:color="auto"/>
          </w:divBdr>
          <w:divsChild>
            <w:div w:id="1992170250">
              <w:marLeft w:val="0"/>
              <w:marRight w:val="0"/>
              <w:marTop w:val="0"/>
              <w:marBottom w:val="0"/>
              <w:divBdr>
                <w:top w:val="none" w:sz="0" w:space="0" w:color="auto"/>
                <w:left w:val="none" w:sz="0" w:space="0" w:color="auto"/>
                <w:bottom w:val="none" w:sz="0" w:space="0" w:color="auto"/>
                <w:right w:val="none" w:sz="0" w:space="0" w:color="auto"/>
              </w:divBdr>
            </w:div>
            <w:div w:id="415057603">
              <w:marLeft w:val="0"/>
              <w:marRight w:val="0"/>
              <w:marTop w:val="0"/>
              <w:marBottom w:val="0"/>
              <w:divBdr>
                <w:top w:val="none" w:sz="0" w:space="0" w:color="auto"/>
                <w:left w:val="none" w:sz="0" w:space="0" w:color="auto"/>
                <w:bottom w:val="none" w:sz="0" w:space="0" w:color="auto"/>
                <w:right w:val="none" w:sz="0" w:space="0" w:color="auto"/>
              </w:divBdr>
              <w:divsChild>
                <w:div w:id="1635990409">
                  <w:marLeft w:val="0"/>
                  <w:marRight w:val="0"/>
                  <w:marTop w:val="0"/>
                  <w:marBottom w:val="0"/>
                  <w:divBdr>
                    <w:top w:val="none" w:sz="0" w:space="0" w:color="auto"/>
                    <w:left w:val="none" w:sz="0" w:space="0" w:color="auto"/>
                    <w:bottom w:val="none" w:sz="0" w:space="0" w:color="auto"/>
                    <w:right w:val="none" w:sz="0" w:space="0" w:color="auto"/>
                  </w:divBdr>
                </w:div>
              </w:divsChild>
            </w:div>
            <w:div w:id="219444641">
              <w:marLeft w:val="0"/>
              <w:marRight w:val="0"/>
              <w:marTop w:val="0"/>
              <w:marBottom w:val="0"/>
              <w:divBdr>
                <w:top w:val="none" w:sz="0" w:space="0" w:color="auto"/>
                <w:left w:val="none" w:sz="0" w:space="0" w:color="auto"/>
                <w:bottom w:val="none" w:sz="0" w:space="0" w:color="auto"/>
                <w:right w:val="none" w:sz="0" w:space="0" w:color="auto"/>
              </w:divBdr>
              <w:divsChild>
                <w:div w:id="1033462504">
                  <w:marLeft w:val="0"/>
                  <w:marRight w:val="0"/>
                  <w:marTop w:val="0"/>
                  <w:marBottom w:val="0"/>
                  <w:divBdr>
                    <w:top w:val="none" w:sz="0" w:space="0" w:color="auto"/>
                    <w:left w:val="none" w:sz="0" w:space="0" w:color="auto"/>
                    <w:bottom w:val="none" w:sz="0" w:space="0" w:color="auto"/>
                    <w:right w:val="none" w:sz="0" w:space="0" w:color="auto"/>
                  </w:divBdr>
                </w:div>
              </w:divsChild>
            </w:div>
            <w:div w:id="740982700">
              <w:marLeft w:val="0"/>
              <w:marRight w:val="0"/>
              <w:marTop w:val="0"/>
              <w:marBottom w:val="0"/>
              <w:divBdr>
                <w:top w:val="none" w:sz="0" w:space="0" w:color="auto"/>
                <w:left w:val="none" w:sz="0" w:space="0" w:color="auto"/>
                <w:bottom w:val="none" w:sz="0" w:space="0" w:color="auto"/>
                <w:right w:val="none" w:sz="0" w:space="0" w:color="auto"/>
              </w:divBdr>
              <w:divsChild>
                <w:div w:id="1120414960">
                  <w:marLeft w:val="0"/>
                  <w:marRight w:val="0"/>
                  <w:marTop w:val="0"/>
                  <w:marBottom w:val="0"/>
                  <w:divBdr>
                    <w:top w:val="none" w:sz="0" w:space="0" w:color="auto"/>
                    <w:left w:val="none" w:sz="0" w:space="0" w:color="auto"/>
                    <w:bottom w:val="none" w:sz="0" w:space="0" w:color="auto"/>
                    <w:right w:val="none" w:sz="0" w:space="0" w:color="auto"/>
                  </w:divBdr>
                </w:div>
                <w:div w:id="121465506">
                  <w:marLeft w:val="0"/>
                  <w:marRight w:val="0"/>
                  <w:marTop w:val="0"/>
                  <w:marBottom w:val="0"/>
                  <w:divBdr>
                    <w:top w:val="none" w:sz="0" w:space="0" w:color="auto"/>
                    <w:left w:val="none" w:sz="0" w:space="0" w:color="auto"/>
                    <w:bottom w:val="none" w:sz="0" w:space="0" w:color="auto"/>
                    <w:right w:val="none" w:sz="0" w:space="0" w:color="auto"/>
                  </w:divBdr>
                </w:div>
                <w:div w:id="1684278069">
                  <w:marLeft w:val="0"/>
                  <w:marRight w:val="0"/>
                  <w:marTop w:val="0"/>
                  <w:marBottom w:val="0"/>
                  <w:divBdr>
                    <w:top w:val="none" w:sz="0" w:space="0" w:color="auto"/>
                    <w:left w:val="none" w:sz="0" w:space="0" w:color="auto"/>
                    <w:bottom w:val="none" w:sz="0" w:space="0" w:color="auto"/>
                    <w:right w:val="none" w:sz="0" w:space="0" w:color="auto"/>
                  </w:divBdr>
                </w:div>
                <w:div w:id="22599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855737">
          <w:marLeft w:val="0"/>
          <w:marRight w:val="0"/>
          <w:marTop w:val="0"/>
          <w:marBottom w:val="0"/>
          <w:divBdr>
            <w:top w:val="none" w:sz="0" w:space="0" w:color="auto"/>
            <w:left w:val="none" w:sz="0" w:space="0" w:color="auto"/>
            <w:bottom w:val="none" w:sz="0" w:space="0" w:color="auto"/>
            <w:right w:val="none" w:sz="0" w:space="0" w:color="auto"/>
          </w:divBdr>
          <w:divsChild>
            <w:div w:id="1014265704">
              <w:marLeft w:val="0"/>
              <w:marRight w:val="0"/>
              <w:marTop w:val="0"/>
              <w:marBottom w:val="0"/>
              <w:divBdr>
                <w:top w:val="none" w:sz="0" w:space="0" w:color="auto"/>
                <w:left w:val="none" w:sz="0" w:space="0" w:color="auto"/>
                <w:bottom w:val="none" w:sz="0" w:space="0" w:color="auto"/>
                <w:right w:val="none" w:sz="0" w:space="0" w:color="auto"/>
              </w:divBdr>
            </w:div>
            <w:div w:id="1805418304">
              <w:marLeft w:val="0"/>
              <w:marRight w:val="0"/>
              <w:marTop w:val="0"/>
              <w:marBottom w:val="0"/>
              <w:divBdr>
                <w:top w:val="none" w:sz="0" w:space="0" w:color="auto"/>
                <w:left w:val="none" w:sz="0" w:space="0" w:color="auto"/>
                <w:bottom w:val="none" w:sz="0" w:space="0" w:color="auto"/>
                <w:right w:val="none" w:sz="0" w:space="0" w:color="auto"/>
              </w:divBdr>
              <w:divsChild>
                <w:div w:id="2017414235">
                  <w:marLeft w:val="0"/>
                  <w:marRight w:val="0"/>
                  <w:marTop w:val="0"/>
                  <w:marBottom w:val="0"/>
                  <w:divBdr>
                    <w:top w:val="none" w:sz="0" w:space="0" w:color="auto"/>
                    <w:left w:val="none" w:sz="0" w:space="0" w:color="auto"/>
                    <w:bottom w:val="none" w:sz="0" w:space="0" w:color="auto"/>
                    <w:right w:val="none" w:sz="0" w:space="0" w:color="auto"/>
                  </w:divBdr>
                </w:div>
              </w:divsChild>
            </w:div>
            <w:div w:id="905191892">
              <w:marLeft w:val="0"/>
              <w:marRight w:val="0"/>
              <w:marTop w:val="0"/>
              <w:marBottom w:val="0"/>
              <w:divBdr>
                <w:top w:val="none" w:sz="0" w:space="0" w:color="auto"/>
                <w:left w:val="none" w:sz="0" w:space="0" w:color="auto"/>
                <w:bottom w:val="none" w:sz="0" w:space="0" w:color="auto"/>
                <w:right w:val="none" w:sz="0" w:space="0" w:color="auto"/>
              </w:divBdr>
              <w:divsChild>
                <w:div w:id="1437823762">
                  <w:marLeft w:val="0"/>
                  <w:marRight w:val="0"/>
                  <w:marTop w:val="0"/>
                  <w:marBottom w:val="0"/>
                  <w:divBdr>
                    <w:top w:val="none" w:sz="0" w:space="0" w:color="auto"/>
                    <w:left w:val="none" w:sz="0" w:space="0" w:color="auto"/>
                    <w:bottom w:val="none" w:sz="0" w:space="0" w:color="auto"/>
                    <w:right w:val="none" w:sz="0" w:space="0" w:color="auto"/>
                  </w:divBdr>
                </w:div>
                <w:div w:id="308292129">
                  <w:marLeft w:val="0"/>
                  <w:marRight w:val="0"/>
                  <w:marTop w:val="0"/>
                  <w:marBottom w:val="0"/>
                  <w:divBdr>
                    <w:top w:val="none" w:sz="0" w:space="0" w:color="auto"/>
                    <w:left w:val="none" w:sz="0" w:space="0" w:color="auto"/>
                    <w:bottom w:val="none" w:sz="0" w:space="0" w:color="auto"/>
                    <w:right w:val="none" w:sz="0" w:space="0" w:color="auto"/>
                  </w:divBdr>
                </w:div>
                <w:div w:id="1222403134">
                  <w:marLeft w:val="0"/>
                  <w:marRight w:val="0"/>
                  <w:marTop w:val="0"/>
                  <w:marBottom w:val="0"/>
                  <w:divBdr>
                    <w:top w:val="none" w:sz="0" w:space="0" w:color="auto"/>
                    <w:left w:val="none" w:sz="0" w:space="0" w:color="auto"/>
                    <w:bottom w:val="none" w:sz="0" w:space="0" w:color="auto"/>
                    <w:right w:val="none" w:sz="0" w:space="0" w:color="auto"/>
                  </w:divBdr>
                </w:div>
              </w:divsChild>
            </w:div>
            <w:div w:id="861550360">
              <w:marLeft w:val="0"/>
              <w:marRight w:val="0"/>
              <w:marTop w:val="0"/>
              <w:marBottom w:val="0"/>
              <w:divBdr>
                <w:top w:val="none" w:sz="0" w:space="0" w:color="auto"/>
                <w:left w:val="none" w:sz="0" w:space="0" w:color="auto"/>
                <w:bottom w:val="none" w:sz="0" w:space="0" w:color="auto"/>
                <w:right w:val="none" w:sz="0" w:space="0" w:color="auto"/>
              </w:divBdr>
              <w:divsChild>
                <w:div w:id="1300648663">
                  <w:marLeft w:val="0"/>
                  <w:marRight w:val="0"/>
                  <w:marTop w:val="0"/>
                  <w:marBottom w:val="0"/>
                  <w:divBdr>
                    <w:top w:val="none" w:sz="0" w:space="0" w:color="auto"/>
                    <w:left w:val="none" w:sz="0" w:space="0" w:color="auto"/>
                    <w:bottom w:val="none" w:sz="0" w:space="0" w:color="auto"/>
                    <w:right w:val="none" w:sz="0" w:space="0" w:color="auto"/>
                  </w:divBdr>
                </w:div>
              </w:divsChild>
            </w:div>
            <w:div w:id="873687906">
              <w:marLeft w:val="0"/>
              <w:marRight w:val="0"/>
              <w:marTop w:val="0"/>
              <w:marBottom w:val="0"/>
              <w:divBdr>
                <w:top w:val="none" w:sz="0" w:space="0" w:color="auto"/>
                <w:left w:val="none" w:sz="0" w:space="0" w:color="auto"/>
                <w:bottom w:val="none" w:sz="0" w:space="0" w:color="auto"/>
                <w:right w:val="none" w:sz="0" w:space="0" w:color="auto"/>
              </w:divBdr>
              <w:divsChild>
                <w:div w:id="969361478">
                  <w:marLeft w:val="0"/>
                  <w:marRight w:val="0"/>
                  <w:marTop w:val="0"/>
                  <w:marBottom w:val="0"/>
                  <w:divBdr>
                    <w:top w:val="none" w:sz="0" w:space="0" w:color="auto"/>
                    <w:left w:val="none" w:sz="0" w:space="0" w:color="auto"/>
                    <w:bottom w:val="none" w:sz="0" w:space="0" w:color="auto"/>
                    <w:right w:val="none" w:sz="0" w:space="0" w:color="auto"/>
                  </w:divBdr>
                </w:div>
              </w:divsChild>
            </w:div>
            <w:div w:id="40830256">
              <w:marLeft w:val="0"/>
              <w:marRight w:val="0"/>
              <w:marTop w:val="0"/>
              <w:marBottom w:val="0"/>
              <w:divBdr>
                <w:top w:val="none" w:sz="0" w:space="0" w:color="auto"/>
                <w:left w:val="none" w:sz="0" w:space="0" w:color="auto"/>
                <w:bottom w:val="none" w:sz="0" w:space="0" w:color="auto"/>
                <w:right w:val="none" w:sz="0" w:space="0" w:color="auto"/>
              </w:divBdr>
              <w:divsChild>
                <w:div w:id="618226431">
                  <w:marLeft w:val="0"/>
                  <w:marRight w:val="0"/>
                  <w:marTop w:val="0"/>
                  <w:marBottom w:val="0"/>
                  <w:divBdr>
                    <w:top w:val="none" w:sz="0" w:space="0" w:color="auto"/>
                    <w:left w:val="none" w:sz="0" w:space="0" w:color="auto"/>
                    <w:bottom w:val="none" w:sz="0" w:space="0" w:color="auto"/>
                    <w:right w:val="none" w:sz="0" w:space="0" w:color="auto"/>
                  </w:divBdr>
                </w:div>
              </w:divsChild>
            </w:div>
            <w:div w:id="1507359837">
              <w:marLeft w:val="0"/>
              <w:marRight w:val="0"/>
              <w:marTop w:val="0"/>
              <w:marBottom w:val="0"/>
              <w:divBdr>
                <w:top w:val="none" w:sz="0" w:space="0" w:color="auto"/>
                <w:left w:val="none" w:sz="0" w:space="0" w:color="auto"/>
                <w:bottom w:val="none" w:sz="0" w:space="0" w:color="auto"/>
                <w:right w:val="none" w:sz="0" w:space="0" w:color="auto"/>
              </w:divBdr>
              <w:divsChild>
                <w:div w:id="2092389741">
                  <w:marLeft w:val="0"/>
                  <w:marRight w:val="0"/>
                  <w:marTop w:val="0"/>
                  <w:marBottom w:val="0"/>
                  <w:divBdr>
                    <w:top w:val="none" w:sz="0" w:space="0" w:color="auto"/>
                    <w:left w:val="none" w:sz="0" w:space="0" w:color="auto"/>
                    <w:bottom w:val="none" w:sz="0" w:space="0" w:color="auto"/>
                    <w:right w:val="none" w:sz="0" w:space="0" w:color="auto"/>
                  </w:divBdr>
                </w:div>
              </w:divsChild>
            </w:div>
            <w:div w:id="1953317037">
              <w:marLeft w:val="0"/>
              <w:marRight w:val="0"/>
              <w:marTop w:val="0"/>
              <w:marBottom w:val="0"/>
              <w:divBdr>
                <w:top w:val="none" w:sz="0" w:space="0" w:color="auto"/>
                <w:left w:val="none" w:sz="0" w:space="0" w:color="auto"/>
                <w:bottom w:val="none" w:sz="0" w:space="0" w:color="auto"/>
                <w:right w:val="none" w:sz="0" w:space="0" w:color="auto"/>
              </w:divBdr>
              <w:divsChild>
                <w:div w:id="970091060">
                  <w:marLeft w:val="0"/>
                  <w:marRight w:val="0"/>
                  <w:marTop w:val="0"/>
                  <w:marBottom w:val="0"/>
                  <w:divBdr>
                    <w:top w:val="none" w:sz="0" w:space="0" w:color="auto"/>
                    <w:left w:val="none" w:sz="0" w:space="0" w:color="auto"/>
                    <w:bottom w:val="none" w:sz="0" w:space="0" w:color="auto"/>
                    <w:right w:val="none" w:sz="0" w:space="0" w:color="auto"/>
                  </w:divBdr>
                </w:div>
              </w:divsChild>
            </w:div>
            <w:div w:id="658076645">
              <w:marLeft w:val="0"/>
              <w:marRight w:val="0"/>
              <w:marTop w:val="0"/>
              <w:marBottom w:val="0"/>
              <w:divBdr>
                <w:top w:val="none" w:sz="0" w:space="0" w:color="auto"/>
                <w:left w:val="none" w:sz="0" w:space="0" w:color="auto"/>
                <w:bottom w:val="none" w:sz="0" w:space="0" w:color="auto"/>
                <w:right w:val="none" w:sz="0" w:space="0" w:color="auto"/>
              </w:divBdr>
              <w:divsChild>
                <w:div w:id="1029913668">
                  <w:marLeft w:val="0"/>
                  <w:marRight w:val="0"/>
                  <w:marTop w:val="0"/>
                  <w:marBottom w:val="0"/>
                  <w:divBdr>
                    <w:top w:val="none" w:sz="0" w:space="0" w:color="auto"/>
                    <w:left w:val="none" w:sz="0" w:space="0" w:color="auto"/>
                    <w:bottom w:val="none" w:sz="0" w:space="0" w:color="auto"/>
                    <w:right w:val="none" w:sz="0" w:space="0" w:color="auto"/>
                  </w:divBdr>
                </w:div>
                <w:div w:id="221790077">
                  <w:marLeft w:val="0"/>
                  <w:marRight w:val="0"/>
                  <w:marTop w:val="0"/>
                  <w:marBottom w:val="0"/>
                  <w:divBdr>
                    <w:top w:val="none" w:sz="0" w:space="0" w:color="auto"/>
                    <w:left w:val="none" w:sz="0" w:space="0" w:color="auto"/>
                    <w:bottom w:val="none" w:sz="0" w:space="0" w:color="auto"/>
                    <w:right w:val="none" w:sz="0" w:space="0" w:color="auto"/>
                  </w:divBdr>
                </w:div>
                <w:div w:id="998188272">
                  <w:marLeft w:val="0"/>
                  <w:marRight w:val="0"/>
                  <w:marTop w:val="0"/>
                  <w:marBottom w:val="0"/>
                  <w:divBdr>
                    <w:top w:val="none" w:sz="0" w:space="0" w:color="auto"/>
                    <w:left w:val="none" w:sz="0" w:space="0" w:color="auto"/>
                    <w:bottom w:val="none" w:sz="0" w:space="0" w:color="auto"/>
                    <w:right w:val="none" w:sz="0" w:space="0" w:color="auto"/>
                  </w:divBdr>
                </w:div>
              </w:divsChild>
            </w:div>
            <w:div w:id="875240860">
              <w:marLeft w:val="0"/>
              <w:marRight w:val="0"/>
              <w:marTop w:val="0"/>
              <w:marBottom w:val="0"/>
              <w:divBdr>
                <w:top w:val="none" w:sz="0" w:space="0" w:color="auto"/>
                <w:left w:val="none" w:sz="0" w:space="0" w:color="auto"/>
                <w:bottom w:val="none" w:sz="0" w:space="0" w:color="auto"/>
                <w:right w:val="none" w:sz="0" w:space="0" w:color="auto"/>
              </w:divBdr>
              <w:divsChild>
                <w:div w:id="1072846985">
                  <w:marLeft w:val="0"/>
                  <w:marRight w:val="0"/>
                  <w:marTop w:val="0"/>
                  <w:marBottom w:val="0"/>
                  <w:divBdr>
                    <w:top w:val="none" w:sz="0" w:space="0" w:color="auto"/>
                    <w:left w:val="none" w:sz="0" w:space="0" w:color="auto"/>
                    <w:bottom w:val="none" w:sz="0" w:space="0" w:color="auto"/>
                    <w:right w:val="none" w:sz="0" w:space="0" w:color="auto"/>
                  </w:divBdr>
                </w:div>
              </w:divsChild>
            </w:div>
            <w:div w:id="1250389892">
              <w:marLeft w:val="0"/>
              <w:marRight w:val="0"/>
              <w:marTop w:val="0"/>
              <w:marBottom w:val="0"/>
              <w:divBdr>
                <w:top w:val="none" w:sz="0" w:space="0" w:color="auto"/>
                <w:left w:val="none" w:sz="0" w:space="0" w:color="auto"/>
                <w:bottom w:val="none" w:sz="0" w:space="0" w:color="auto"/>
                <w:right w:val="none" w:sz="0" w:space="0" w:color="auto"/>
              </w:divBdr>
              <w:divsChild>
                <w:div w:id="2054499870">
                  <w:marLeft w:val="0"/>
                  <w:marRight w:val="0"/>
                  <w:marTop w:val="0"/>
                  <w:marBottom w:val="0"/>
                  <w:divBdr>
                    <w:top w:val="none" w:sz="0" w:space="0" w:color="auto"/>
                    <w:left w:val="none" w:sz="0" w:space="0" w:color="auto"/>
                    <w:bottom w:val="none" w:sz="0" w:space="0" w:color="auto"/>
                    <w:right w:val="none" w:sz="0" w:space="0" w:color="auto"/>
                  </w:divBdr>
                </w:div>
              </w:divsChild>
            </w:div>
            <w:div w:id="517233426">
              <w:marLeft w:val="0"/>
              <w:marRight w:val="0"/>
              <w:marTop w:val="0"/>
              <w:marBottom w:val="0"/>
              <w:divBdr>
                <w:top w:val="none" w:sz="0" w:space="0" w:color="auto"/>
                <w:left w:val="none" w:sz="0" w:space="0" w:color="auto"/>
                <w:bottom w:val="none" w:sz="0" w:space="0" w:color="auto"/>
                <w:right w:val="none" w:sz="0" w:space="0" w:color="auto"/>
              </w:divBdr>
              <w:divsChild>
                <w:div w:id="1099639584">
                  <w:marLeft w:val="0"/>
                  <w:marRight w:val="0"/>
                  <w:marTop w:val="0"/>
                  <w:marBottom w:val="0"/>
                  <w:divBdr>
                    <w:top w:val="none" w:sz="0" w:space="0" w:color="auto"/>
                    <w:left w:val="none" w:sz="0" w:space="0" w:color="auto"/>
                    <w:bottom w:val="none" w:sz="0" w:space="0" w:color="auto"/>
                    <w:right w:val="none" w:sz="0" w:space="0" w:color="auto"/>
                  </w:divBdr>
                </w:div>
                <w:div w:id="29111697">
                  <w:marLeft w:val="0"/>
                  <w:marRight w:val="0"/>
                  <w:marTop w:val="0"/>
                  <w:marBottom w:val="0"/>
                  <w:divBdr>
                    <w:top w:val="none" w:sz="0" w:space="0" w:color="auto"/>
                    <w:left w:val="none" w:sz="0" w:space="0" w:color="auto"/>
                    <w:bottom w:val="none" w:sz="0" w:space="0" w:color="auto"/>
                    <w:right w:val="none" w:sz="0" w:space="0" w:color="auto"/>
                  </w:divBdr>
                </w:div>
                <w:div w:id="215550484">
                  <w:marLeft w:val="0"/>
                  <w:marRight w:val="0"/>
                  <w:marTop w:val="0"/>
                  <w:marBottom w:val="0"/>
                  <w:divBdr>
                    <w:top w:val="none" w:sz="0" w:space="0" w:color="auto"/>
                    <w:left w:val="none" w:sz="0" w:space="0" w:color="auto"/>
                    <w:bottom w:val="none" w:sz="0" w:space="0" w:color="auto"/>
                    <w:right w:val="none" w:sz="0" w:space="0" w:color="auto"/>
                  </w:divBdr>
                </w:div>
              </w:divsChild>
            </w:div>
            <w:div w:id="687416382">
              <w:marLeft w:val="0"/>
              <w:marRight w:val="0"/>
              <w:marTop w:val="0"/>
              <w:marBottom w:val="0"/>
              <w:divBdr>
                <w:top w:val="none" w:sz="0" w:space="0" w:color="auto"/>
                <w:left w:val="none" w:sz="0" w:space="0" w:color="auto"/>
                <w:bottom w:val="none" w:sz="0" w:space="0" w:color="auto"/>
                <w:right w:val="none" w:sz="0" w:space="0" w:color="auto"/>
              </w:divBdr>
              <w:divsChild>
                <w:div w:id="168624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464353">
          <w:marLeft w:val="0"/>
          <w:marRight w:val="0"/>
          <w:marTop w:val="0"/>
          <w:marBottom w:val="0"/>
          <w:divBdr>
            <w:top w:val="none" w:sz="0" w:space="0" w:color="auto"/>
            <w:left w:val="none" w:sz="0" w:space="0" w:color="auto"/>
            <w:bottom w:val="none" w:sz="0" w:space="0" w:color="auto"/>
            <w:right w:val="none" w:sz="0" w:space="0" w:color="auto"/>
          </w:divBdr>
          <w:divsChild>
            <w:div w:id="160436412">
              <w:marLeft w:val="0"/>
              <w:marRight w:val="0"/>
              <w:marTop w:val="0"/>
              <w:marBottom w:val="0"/>
              <w:divBdr>
                <w:top w:val="none" w:sz="0" w:space="0" w:color="auto"/>
                <w:left w:val="none" w:sz="0" w:space="0" w:color="auto"/>
                <w:bottom w:val="none" w:sz="0" w:space="0" w:color="auto"/>
                <w:right w:val="none" w:sz="0" w:space="0" w:color="auto"/>
              </w:divBdr>
            </w:div>
            <w:div w:id="1116287176">
              <w:marLeft w:val="0"/>
              <w:marRight w:val="0"/>
              <w:marTop w:val="0"/>
              <w:marBottom w:val="0"/>
              <w:divBdr>
                <w:top w:val="none" w:sz="0" w:space="0" w:color="auto"/>
                <w:left w:val="none" w:sz="0" w:space="0" w:color="auto"/>
                <w:bottom w:val="none" w:sz="0" w:space="0" w:color="auto"/>
                <w:right w:val="none" w:sz="0" w:space="0" w:color="auto"/>
              </w:divBdr>
              <w:divsChild>
                <w:div w:id="279651202">
                  <w:marLeft w:val="0"/>
                  <w:marRight w:val="0"/>
                  <w:marTop w:val="0"/>
                  <w:marBottom w:val="0"/>
                  <w:divBdr>
                    <w:top w:val="none" w:sz="0" w:space="0" w:color="auto"/>
                    <w:left w:val="none" w:sz="0" w:space="0" w:color="auto"/>
                    <w:bottom w:val="none" w:sz="0" w:space="0" w:color="auto"/>
                    <w:right w:val="none" w:sz="0" w:space="0" w:color="auto"/>
                  </w:divBdr>
                </w:div>
              </w:divsChild>
            </w:div>
            <w:div w:id="1972319437">
              <w:marLeft w:val="0"/>
              <w:marRight w:val="0"/>
              <w:marTop w:val="0"/>
              <w:marBottom w:val="0"/>
              <w:divBdr>
                <w:top w:val="none" w:sz="0" w:space="0" w:color="auto"/>
                <w:left w:val="none" w:sz="0" w:space="0" w:color="auto"/>
                <w:bottom w:val="none" w:sz="0" w:space="0" w:color="auto"/>
                <w:right w:val="none" w:sz="0" w:space="0" w:color="auto"/>
              </w:divBdr>
              <w:divsChild>
                <w:div w:id="2017804402">
                  <w:marLeft w:val="0"/>
                  <w:marRight w:val="0"/>
                  <w:marTop w:val="0"/>
                  <w:marBottom w:val="0"/>
                  <w:divBdr>
                    <w:top w:val="none" w:sz="0" w:space="0" w:color="auto"/>
                    <w:left w:val="none" w:sz="0" w:space="0" w:color="auto"/>
                    <w:bottom w:val="none" w:sz="0" w:space="0" w:color="auto"/>
                    <w:right w:val="none" w:sz="0" w:space="0" w:color="auto"/>
                  </w:divBdr>
                </w:div>
              </w:divsChild>
            </w:div>
            <w:div w:id="1799689483">
              <w:marLeft w:val="0"/>
              <w:marRight w:val="0"/>
              <w:marTop w:val="0"/>
              <w:marBottom w:val="0"/>
              <w:divBdr>
                <w:top w:val="none" w:sz="0" w:space="0" w:color="auto"/>
                <w:left w:val="none" w:sz="0" w:space="0" w:color="auto"/>
                <w:bottom w:val="none" w:sz="0" w:space="0" w:color="auto"/>
                <w:right w:val="none" w:sz="0" w:space="0" w:color="auto"/>
              </w:divBdr>
              <w:divsChild>
                <w:div w:id="924648134">
                  <w:marLeft w:val="0"/>
                  <w:marRight w:val="0"/>
                  <w:marTop w:val="0"/>
                  <w:marBottom w:val="0"/>
                  <w:divBdr>
                    <w:top w:val="none" w:sz="0" w:space="0" w:color="auto"/>
                    <w:left w:val="none" w:sz="0" w:space="0" w:color="auto"/>
                    <w:bottom w:val="none" w:sz="0" w:space="0" w:color="auto"/>
                    <w:right w:val="none" w:sz="0" w:space="0" w:color="auto"/>
                  </w:divBdr>
                </w:div>
              </w:divsChild>
            </w:div>
            <w:div w:id="1319578379">
              <w:marLeft w:val="0"/>
              <w:marRight w:val="0"/>
              <w:marTop w:val="0"/>
              <w:marBottom w:val="0"/>
              <w:divBdr>
                <w:top w:val="none" w:sz="0" w:space="0" w:color="auto"/>
                <w:left w:val="none" w:sz="0" w:space="0" w:color="auto"/>
                <w:bottom w:val="none" w:sz="0" w:space="0" w:color="auto"/>
                <w:right w:val="none" w:sz="0" w:space="0" w:color="auto"/>
              </w:divBdr>
              <w:divsChild>
                <w:div w:id="1573350780">
                  <w:marLeft w:val="0"/>
                  <w:marRight w:val="0"/>
                  <w:marTop w:val="0"/>
                  <w:marBottom w:val="0"/>
                  <w:divBdr>
                    <w:top w:val="none" w:sz="0" w:space="0" w:color="auto"/>
                    <w:left w:val="none" w:sz="0" w:space="0" w:color="auto"/>
                    <w:bottom w:val="none" w:sz="0" w:space="0" w:color="auto"/>
                    <w:right w:val="none" w:sz="0" w:space="0" w:color="auto"/>
                  </w:divBdr>
                </w:div>
              </w:divsChild>
            </w:div>
            <w:div w:id="1080643454">
              <w:marLeft w:val="0"/>
              <w:marRight w:val="0"/>
              <w:marTop w:val="0"/>
              <w:marBottom w:val="0"/>
              <w:divBdr>
                <w:top w:val="none" w:sz="0" w:space="0" w:color="auto"/>
                <w:left w:val="none" w:sz="0" w:space="0" w:color="auto"/>
                <w:bottom w:val="none" w:sz="0" w:space="0" w:color="auto"/>
                <w:right w:val="none" w:sz="0" w:space="0" w:color="auto"/>
              </w:divBdr>
              <w:divsChild>
                <w:div w:id="1732804008">
                  <w:marLeft w:val="0"/>
                  <w:marRight w:val="0"/>
                  <w:marTop w:val="0"/>
                  <w:marBottom w:val="0"/>
                  <w:divBdr>
                    <w:top w:val="none" w:sz="0" w:space="0" w:color="auto"/>
                    <w:left w:val="none" w:sz="0" w:space="0" w:color="auto"/>
                    <w:bottom w:val="none" w:sz="0" w:space="0" w:color="auto"/>
                    <w:right w:val="none" w:sz="0" w:space="0" w:color="auto"/>
                  </w:divBdr>
                </w:div>
              </w:divsChild>
            </w:div>
            <w:div w:id="1235817293">
              <w:marLeft w:val="0"/>
              <w:marRight w:val="0"/>
              <w:marTop w:val="0"/>
              <w:marBottom w:val="0"/>
              <w:divBdr>
                <w:top w:val="none" w:sz="0" w:space="0" w:color="auto"/>
                <w:left w:val="none" w:sz="0" w:space="0" w:color="auto"/>
                <w:bottom w:val="none" w:sz="0" w:space="0" w:color="auto"/>
                <w:right w:val="none" w:sz="0" w:space="0" w:color="auto"/>
              </w:divBdr>
              <w:divsChild>
                <w:div w:id="105974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130972">
          <w:marLeft w:val="0"/>
          <w:marRight w:val="0"/>
          <w:marTop w:val="0"/>
          <w:marBottom w:val="0"/>
          <w:divBdr>
            <w:top w:val="none" w:sz="0" w:space="0" w:color="auto"/>
            <w:left w:val="none" w:sz="0" w:space="0" w:color="auto"/>
            <w:bottom w:val="none" w:sz="0" w:space="0" w:color="auto"/>
            <w:right w:val="none" w:sz="0" w:space="0" w:color="auto"/>
          </w:divBdr>
          <w:divsChild>
            <w:div w:id="1544948640">
              <w:marLeft w:val="0"/>
              <w:marRight w:val="0"/>
              <w:marTop w:val="0"/>
              <w:marBottom w:val="0"/>
              <w:divBdr>
                <w:top w:val="none" w:sz="0" w:space="0" w:color="auto"/>
                <w:left w:val="none" w:sz="0" w:space="0" w:color="auto"/>
                <w:bottom w:val="none" w:sz="0" w:space="0" w:color="auto"/>
                <w:right w:val="none" w:sz="0" w:space="0" w:color="auto"/>
              </w:divBdr>
            </w:div>
            <w:div w:id="1425104564">
              <w:marLeft w:val="0"/>
              <w:marRight w:val="0"/>
              <w:marTop w:val="0"/>
              <w:marBottom w:val="0"/>
              <w:divBdr>
                <w:top w:val="none" w:sz="0" w:space="0" w:color="auto"/>
                <w:left w:val="none" w:sz="0" w:space="0" w:color="auto"/>
                <w:bottom w:val="none" w:sz="0" w:space="0" w:color="auto"/>
                <w:right w:val="none" w:sz="0" w:space="0" w:color="auto"/>
              </w:divBdr>
              <w:divsChild>
                <w:div w:id="107820108">
                  <w:marLeft w:val="0"/>
                  <w:marRight w:val="0"/>
                  <w:marTop w:val="0"/>
                  <w:marBottom w:val="0"/>
                  <w:divBdr>
                    <w:top w:val="none" w:sz="0" w:space="0" w:color="auto"/>
                    <w:left w:val="none" w:sz="0" w:space="0" w:color="auto"/>
                    <w:bottom w:val="none" w:sz="0" w:space="0" w:color="auto"/>
                    <w:right w:val="none" w:sz="0" w:space="0" w:color="auto"/>
                  </w:divBdr>
                </w:div>
              </w:divsChild>
            </w:div>
            <w:div w:id="475143640">
              <w:marLeft w:val="0"/>
              <w:marRight w:val="0"/>
              <w:marTop w:val="0"/>
              <w:marBottom w:val="0"/>
              <w:divBdr>
                <w:top w:val="none" w:sz="0" w:space="0" w:color="auto"/>
                <w:left w:val="none" w:sz="0" w:space="0" w:color="auto"/>
                <w:bottom w:val="none" w:sz="0" w:space="0" w:color="auto"/>
                <w:right w:val="none" w:sz="0" w:space="0" w:color="auto"/>
              </w:divBdr>
              <w:divsChild>
                <w:div w:id="996029351">
                  <w:marLeft w:val="0"/>
                  <w:marRight w:val="0"/>
                  <w:marTop w:val="0"/>
                  <w:marBottom w:val="0"/>
                  <w:divBdr>
                    <w:top w:val="none" w:sz="0" w:space="0" w:color="auto"/>
                    <w:left w:val="none" w:sz="0" w:space="0" w:color="auto"/>
                    <w:bottom w:val="none" w:sz="0" w:space="0" w:color="auto"/>
                    <w:right w:val="none" w:sz="0" w:space="0" w:color="auto"/>
                  </w:divBdr>
                </w:div>
              </w:divsChild>
            </w:div>
            <w:div w:id="1122574878">
              <w:marLeft w:val="0"/>
              <w:marRight w:val="0"/>
              <w:marTop w:val="0"/>
              <w:marBottom w:val="0"/>
              <w:divBdr>
                <w:top w:val="none" w:sz="0" w:space="0" w:color="auto"/>
                <w:left w:val="none" w:sz="0" w:space="0" w:color="auto"/>
                <w:bottom w:val="none" w:sz="0" w:space="0" w:color="auto"/>
                <w:right w:val="none" w:sz="0" w:space="0" w:color="auto"/>
              </w:divBdr>
              <w:divsChild>
                <w:div w:id="98188694">
                  <w:marLeft w:val="0"/>
                  <w:marRight w:val="0"/>
                  <w:marTop w:val="0"/>
                  <w:marBottom w:val="0"/>
                  <w:divBdr>
                    <w:top w:val="none" w:sz="0" w:space="0" w:color="auto"/>
                    <w:left w:val="none" w:sz="0" w:space="0" w:color="auto"/>
                    <w:bottom w:val="none" w:sz="0" w:space="0" w:color="auto"/>
                    <w:right w:val="none" w:sz="0" w:space="0" w:color="auto"/>
                  </w:divBdr>
                </w:div>
              </w:divsChild>
            </w:div>
            <w:div w:id="603419120">
              <w:marLeft w:val="0"/>
              <w:marRight w:val="0"/>
              <w:marTop w:val="0"/>
              <w:marBottom w:val="0"/>
              <w:divBdr>
                <w:top w:val="none" w:sz="0" w:space="0" w:color="auto"/>
                <w:left w:val="none" w:sz="0" w:space="0" w:color="auto"/>
                <w:bottom w:val="none" w:sz="0" w:space="0" w:color="auto"/>
                <w:right w:val="none" w:sz="0" w:space="0" w:color="auto"/>
              </w:divBdr>
              <w:divsChild>
                <w:div w:id="1720938124">
                  <w:marLeft w:val="0"/>
                  <w:marRight w:val="0"/>
                  <w:marTop w:val="0"/>
                  <w:marBottom w:val="0"/>
                  <w:divBdr>
                    <w:top w:val="none" w:sz="0" w:space="0" w:color="auto"/>
                    <w:left w:val="none" w:sz="0" w:space="0" w:color="auto"/>
                    <w:bottom w:val="none" w:sz="0" w:space="0" w:color="auto"/>
                    <w:right w:val="none" w:sz="0" w:space="0" w:color="auto"/>
                  </w:divBdr>
                </w:div>
              </w:divsChild>
            </w:div>
            <w:div w:id="1545940510">
              <w:marLeft w:val="0"/>
              <w:marRight w:val="0"/>
              <w:marTop w:val="0"/>
              <w:marBottom w:val="0"/>
              <w:divBdr>
                <w:top w:val="none" w:sz="0" w:space="0" w:color="auto"/>
                <w:left w:val="none" w:sz="0" w:space="0" w:color="auto"/>
                <w:bottom w:val="none" w:sz="0" w:space="0" w:color="auto"/>
                <w:right w:val="none" w:sz="0" w:space="0" w:color="auto"/>
              </w:divBdr>
              <w:divsChild>
                <w:div w:id="792559370">
                  <w:marLeft w:val="0"/>
                  <w:marRight w:val="0"/>
                  <w:marTop w:val="0"/>
                  <w:marBottom w:val="0"/>
                  <w:divBdr>
                    <w:top w:val="none" w:sz="0" w:space="0" w:color="auto"/>
                    <w:left w:val="none" w:sz="0" w:space="0" w:color="auto"/>
                    <w:bottom w:val="none" w:sz="0" w:space="0" w:color="auto"/>
                    <w:right w:val="none" w:sz="0" w:space="0" w:color="auto"/>
                  </w:divBdr>
                </w:div>
              </w:divsChild>
            </w:div>
            <w:div w:id="826627387">
              <w:marLeft w:val="0"/>
              <w:marRight w:val="0"/>
              <w:marTop w:val="0"/>
              <w:marBottom w:val="0"/>
              <w:divBdr>
                <w:top w:val="none" w:sz="0" w:space="0" w:color="auto"/>
                <w:left w:val="none" w:sz="0" w:space="0" w:color="auto"/>
                <w:bottom w:val="none" w:sz="0" w:space="0" w:color="auto"/>
                <w:right w:val="none" w:sz="0" w:space="0" w:color="auto"/>
              </w:divBdr>
              <w:divsChild>
                <w:div w:id="1137995138">
                  <w:marLeft w:val="0"/>
                  <w:marRight w:val="0"/>
                  <w:marTop w:val="0"/>
                  <w:marBottom w:val="0"/>
                  <w:divBdr>
                    <w:top w:val="none" w:sz="0" w:space="0" w:color="auto"/>
                    <w:left w:val="none" w:sz="0" w:space="0" w:color="auto"/>
                    <w:bottom w:val="none" w:sz="0" w:space="0" w:color="auto"/>
                    <w:right w:val="none" w:sz="0" w:space="0" w:color="auto"/>
                  </w:divBdr>
                </w:div>
              </w:divsChild>
            </w:div>
            <w:div w:id="875389444">
              <w:marLeft w:val="0"/>
              <w:marRight w:val="0"/>
              <w:marTop w:val="0"/>
              <w:marBottom w:val="0"/>
              <w:divBdr>
                <w:top w:val="none" w:sz="0" w:space="0" w:color="auto"/>
                <w:left w:val="none" w:sz="0" w:space="0" w:color="auto"/>
                <w:bottom w:val="none" w:sz="0" w:space="0" w:color="auto"/>
                <w:right w:val="none" w:sz="0" w:space="0" w:color="auto"/>
              </w:divBdr>
              <w:divsChild>
                <w:div w:id="1552037366">
                  <w:marLeft w:val="0"/>
                  <w:marRight w:val="0"/>
                  <w:marTop w:val="0"/>
                  <w:marBottom w:val="0"/>
                  <w:divBdr>
                    <w:top w:val="none" w:sz="0" w:space="0" w:color="auto"/>
                    <w:left w:val="none" w:sz="0" w:space="0" w:color="auto"/>
                    <w:bottom w:val="none" w:sz="0" w:space="0" w:color="auto"/>
                    <w:right w:val="none" w:sz="0" w:space="0" w:color="auto"/>
                  </w:divBdr>
                </w:div>
              </w:divsChild>
            </w:div>
            <w:div w:id="1179349701">
              <w:marLeft w:val="0"/>
              <w:marRight w:val="0"/>
              <w:marTop w:val="0"/>
              <w:marBottom w:val="0"/>
              <w:divBdr>
                <w:top w:val="none" w:sz="0" w:space="0" w:color="auto"/>
                <w:left w:val="none" w:sz="0" w:space="0" w:color="auto"/>
                <w:bottom w:val="none" w:sz="0" w:space="0" w:color="auto"/>
                <w:right w:val="none" w:sz="0" w:space="0" w:color="auto"/>
              </w:divBdr>
              <w:divsChild>
                <w:div w:id="1719938190">
                  <w:marLeft w:val="0"/>
                  <w:marRight w:val="0"/>
                  <w:marTop w:val="0"/>
                  <w:marBottom w:val="0"/>
                  <w:divBdr>
                    <w:top w:val="none" w:sz="0" w:space="0" w:color="auto"/>
                    <w:left w:val="none" w:sz="0" w:space="0" w:color="auto"/>
                    <w:bottom w:val="none" w:sz="0" w:space="0" w:color="auto"/>
                    <w:right w:val="none" w:sz="0" w:space="0" w:color="auto"/>
                  </w:divBdr>
                </w:div>
              </w:divsChild>
            </w:div>
            <w:div w:id="1737194958">
              <w:marLeft w:val="0"/>
              <w:marRight w:val="0"/>
              <w:marTop w:val="0"/>
              <w:marBottom w:val="0"/>
              <w:divBdr>
                <w:top w:val="none" w:sz="0" w:space="0" w:color="auto"/>
                <w:left w:val="none" w:sz="0" w:space="0" w:color="auto"/>
                <w:bottom w:val="none" w:sz="0" w:space="0" w:color="auto"/>
                <w:right w:val="none" w:sz="0" w:space="0" w:color="auto"/>
              </w:divBdr>
              <w:divsChild>
                <w:div w:id="75073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2183</Words>
  <Characters>12447</Characters>
  <Application>Microsoft Office Word</Application>
  <DocSecurity>0</DocSecurity>
  <Lines>103</Lines>
  <Paragraphs>29</Paragraphs>
  <ScaleCrop>false</ScaleCrop>
  <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2025-11-24T04:39:00Z</dcterms:created>
  <dcterms:modified xsi:type="dcterms:W3CDTF">2025-11-24T04:40:00Z</dcterms:modified>
</cp:coreProperties>
</file>